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79FF1" w14:textId="7BDF7EF8" w:rsidR="008C786C" w:rsidRPr="003919FC" w:rsidRDefault="0056409D" w:rsidP="00151D91">
      <w:pPr>
        <w:spacing w:after="0" w:line="240" w:lineRule="auto"/>
        <w:jc w:val="center"/>
        <w:rPr>
          <w:b/>
          <w:bCs/>
        </w:rPr>
      </w:pPr>
      <w:r w:rsidRPr="003919FC">
        <w:rPr>
          <w:b/>
          <w:bCs/>
        </w:rPr>
        <w:t>Blo</w:t>
      </w:r>
      <w:r w:rsidR="00AE4038" w:rsidRPr="003919FC">
        <w:rPr>
          <w:b/>
          <w:bCs/>
        </w:rPr>
        <w:t xml:space="preserve">omberg Philanthropies </w:t>
      </w:r>
      <w:r w:rsidR="00320A5B" w:rsidRPr="003919FC">
        <w:rPr>
          <w:b/>
          <w:bCs/>
        </w:rPr>
        <w:t xml:space="preserve">Announces </w:t>
      </w:r>
      <w:r w:rsidR="009D174D" w:rsidRPr="003919FC">
        <w:rPr>
          <w:b/>
          <w:bCs/>
        </w:rPr>
        <w:t>14</w:t>
      </w:r>
      <w:r w:rsidRPr="003919FC">
        <w:rPr>
          <w:b/>
          <w:bCs/>
        </w:rPr>
        <w:t xml:space="preserve"> </w:t>
      </w:r>
      <w:r w:rsidR="002C4E9A" w:rsidRPr="003919FC">
        <w:rPr>
          <w:b/>
          <w:bCs/>
        </w:rPr>
        <w:t xml:space="preserve">U.S. </w:t>
      </w:r>
      <w:r w:rsidR="00020E07">
        <w:rPr>
          <w:b/>
          <w:bCs/>
        </w:rPr>
        <w:t xml:space="preserve">Cities in the Running to </w:t>
      </w:r>
      <w:r w:rsidR="00C4150C" w:rsidRPr="003919FC">
        <w:rPr>
          <w:b/>
          <w:bCs/>
        </w:rPr>
        <w:t>Receive Up to</w:t>
      </w:r>
    </w:p>
    <w:p w14:paraId="206F983A" w14:textId="77777777" w:rsidR="0056409D" w:rsidRPr="003919FC" w:rsidRDefault="00C4150C" w:rsidP="009F5AA2">
      <w:pPr>
        <w:spacing w:after="0" w:line="240" w:lineRule="auto"/>
        <w:jc w:val="center"/>
        <w:rPr>
          <w:b/>
          <w:bCs/>
        </w:rPr>
      </w:pPr>
      <w:r w:rsidRPr="003919FC">
        <w:rPr>
          <w:b/>
          <w:bCs/>
        </w:rPr>
        <w:t>$1 M</w:t>
      </w:r>
      <w:r w:rsidR="00A1105E" w:rsidRPr="003919FC">
        <w:rPr>
          <w:b/>
          <w:bCs/>
        </w:rPr>
        <w:t xml:space="preserve">illion in Funding </w:t>
      </w:r>
      <w:r w:rsidR="0056409D" w:rsidRPr="003919FC">
        <w:rPr>
          <w:b/>
          <w:bCs/>
        </w:rPr>
        <w:t>for Public Art Projects</w:t>
      </w:r>
      <w:r w:rsidR="00C857EC" w:rsidRPr="003919FC">
        <w:rPr>
          <w:b/>
          <w:bCs/>
        </w:rPr>
        <w:t xml:space="preserve"> that Address </w:t>
      </w:r>
      <w:r w:rsidR="000E7E70" w:rsidRPr="003919FC">
        <w:rPr>
          <w:b/>
          <w:bCs/>
        </w:rPr>
        <w:t xml:space="preserve">Civic </w:t>
      </w:r>
      <w:r w:rsidR="001266D8" w:rsidRPr="003919FC">
        <w:rPr>
          <w:b/>
          <w:bCs/>
        </w:rPr>
        <w:t>Issues</w:t>
      </w:r>
      <w:r w:rsidR="000E7E70" w:rsidRPr="003919FC">
        <w:rPr>
          <w:b/>
          <w:bCs/>
        </w:rPr>
        <w:t xml:space="preserve"> </w:t>
      </w:r>
      <w:r w:rsidR="005B44AF" w:rsidRPr="003919FC">
        <w:rPr>
          <w:b/>
          <w:bCs/>
        </w:rPr>
        <w:t xml:space="preserve"> </w:t>
      </w:r>
    </w:p>
    <w:p w14:paraId="742F9AF8" w14:textId="77777777" w:rsidR="008361F4" w:rsidRDefault="008361F4" w:rsidP="00991634">
      <w:pPr>
        <w:spacing w:after="0" w:line="240" w:lineRule="auto"/>
        <w:rPr>
          <w:b/>
          <w:bCs/>
        </w:rPr>
      </w:pPr>
    </w:p>
    <w:p w14:paraId="1F8CF5F3" w14:textId="2ED66EF0" w:rsidR="005E7946" w:rsidRPr="003919FC" w:rsidRDefault="002B4857" w:rsidP="0089650E">
      <w:pPr>
        <w:spacing w:after="0" w:line="240" w:lineRule="auto"/>
        <w:jc w:val="center"/>
        <w:rPr>
          <w:bCs/>
          <w:i/>
        </w:rPr>
      </w:pPr>
      <w:r>
        <w:rPr>
          <w:bCs/>
          <w:i/>
        </w:rPr>
        <w:t xml:space="preserve">Proposals </w:t>
      </w:r>
      <w:r w:rsidR="0089650E">
        <w:rPr>
          <w:bCs/>
          <w:i/>
        </w:rPr>
        <w:t>Address</w:t>
      </w:r>
      <w:r w:rsidR="00991634" w:rsidRPr="003919FC">
        <w:rPr>
          <w:bCs/>
          <w:i/>
        </w:rPr>
        <w:t xml:space="preserve"> </w:t>
      </w:r>
      <w:r w:rsidR="0089650E">
        <w:rPr>
          <w:bCs/>
          <w:i/>
        </w:rPr>
        <w:t xml:space="preserve">a Range of Issues from Sustainability to Immigration </w:t>
      </w:r>
      <w:r w:rsidR="005306B7" w:rsidRPr="003919FC">
        <w:t xml:space="preserve">– </w:t>
      </w:r>
      <w:r w:rsidR="008361F4" w:rsidRPr="003919FC">
        <w:rPr>
          <w:bCs/>
          <w:i/>
        </w:rPr>
        <w:t xml:space="preserve">Selected Cities Span from </w:t>
      </w:r>
      <w:r w:rsidR="005C5B10" w:rsidRPr="003919FC">
        <w:rPr>
          <w:bCs/>
          <w:i/>
        </w:rPr>
        <w:t>Anchorage</w:t>
      </w:r>
      <w:r w:rsidR="008C786C" w:rsidRPr="003919FC">
        <w:rPr>
          <w:bCs/>
          <w:i/>
        </w:rPr>
        <w:t xml:space="preserve"> </w:t>
      </w:r>
      <w:r w:rsidR="005C5B10">
        <w:rPr>
          <w:bCs/>
          <w:i/>
        </w:rPr>
        <w:t xml:space="preserve">to </w:t>
      </w:r>
      <w:r w:rsidR="00841139">
        <w:rPr>
          <w:bCs/>
          <w:i/>
        </w:rPr>
        <w:t>Honolulu</w:t>
      </w:r>
    </w:p>
    <w:p w14:paraId="7DC43022" w14:textId="77777777" w:rsidR="001266D8" w:rsidRPr="003919FC" w:rsidRDefault="001266D8" w:rsidP="009D174D">
      <w:pPr>
        <w:spacing w:after="0" w:line="240" w:lineRule="auto"/>
        <w:rPr>
          <w:i/>
          <w:iCs/>
        </w:rPr>
      </w:pPr>
    </w:p>
    <w:p w14:paraId="6A7785C7" w14:textId="50FA8CFA" w:rsidR="008C786C" w:rsidRDefault="0056409D" w:rsidP="009E5882">
      <w:pPr>
        <w:spacing w:after="0" w:line="240" w:lineRule="auto"/>
      </w:pPr>
      <w:r w:rsidRPr="003919FC">
        <w:rPr>
          <w:b/>
          <w:bCs/>
        </w:rPr>
        <w:t xml:space="preserve">NEW YORK </w:t>
      </w:r>
      <w:r w:rsidRPr="003919FC">
        <w:t>–</w:t>
      </w:r>
      <w:r w:rsidR="005B44AF" w:rsidRPr="003919FC">
        <w:t xml:space="preserve"> </w:t>
      </w:r>
      <w:r w:rsidR="004C126C" w:rsidRPr="003919FC">
        <w:rPr>
          <w:b/>
        </w:rPr>
        <w:t>July</w:t>
      </w:r>
      <w:r w:rsidR="001266D8" w:rsidRPr="003919FC">
        <w:rPr>
          <w:b/>
        </w:rPr>
        <w:t xml:space="preserve"> </w:t>
      </w:r>
      <w:r w:rsidR="004C126C" w:rsidRPr="003919FC">
        <w:rPr>
          <w:b/>
        </w:rPr>
        <w:t>18</w:t>
      </w:r>
      <w:r w:rsidR="001266D8" w:rsidRPr="003919FC">
        <w:rPr>
          <w:b/>
          <w:bCs/>
        </w:rPr>
        <w:t>, 2018</w:t>
      </w:r>
      <w:r w:rsidRPr="003919FC">
        <w:rPr>
          <w:b/>
          <w:bCs/>
        </w:rPr>
        <w:t xml:space="preserve"> </w:t>
      </w:r>
      <w:r w:rsidRPr="003919FC">
        <w:t>– Bloomberg P</w:t>
      </w:r>
      <w:r w:rsidR="001266D8" w:rsidRPr="003919FC">
        <w:t>hilanthropies</w:t>
      </w:r>
      <w:r w:rsidR="00187D00">
        <w:t xml:space="preserve"> today</w:t>
      </w:r>
      <w:r w:rsidR="001266D8" w:rsidRPr="003919FC">
        <w:t xml:space="preserve"> announced </w:t>
      </w:r>
      <w:r w:rsidR="009D174D" w:rsidRPr="003919FC">
        <w:t>14</w:t>
      </w:r>
      <w:r w:rsidRPr="003919FC">
        <w:t xml:space="preserve"> finalist</w:t>
      </w:r>
      <w:r w:rsidR="00187D00">
        <w:t>s</w:t>
      </w:r>
      <w:r w:rsidRPr="003919FC">
        <w:t xml:space="preserve"> </w:t>
      </w:r>
      <w:r w:rsidR="009756D2">
        <w:t xml:space="preserve">who could </w:t>
      </w:r>
      <w:r w:rsidRPr="003919FC">
        <w:t xml:space="preserve">receive up to $1 million each as part of the </w:t>
      </w:r>
      <w:r w:rsidR="001266D8" w:rsidRPr="003919FC">
        <w:t>2018 Public Art Challenge, a program that aims to foster creative collaboration, address civic issues, and support local economies</w:t>
      </w:r>
      <w:r w:rsidR="002878E0" w:rsidRPr="003919FC">
        <w:t xml:space="preserve"> through public art</w:t>
      </w:r>
      <w:r w:rsidR="001266D8" w:rsidRPr="003919FC">
        <w:t xml:space="preserve">. </w:t>
      </w:r>
      <w:r w:rsidR="00842549">
        <w:t>More than 200 cities applied</w:t>
      </w:r>
      <w:r w:rsidR="00187D00">
        <w:t xml:space="preserve"> with p</w:t>
      </w:r>
      <w:r w:rsidR="00036518" w:rsidRPr="003919FC">
        <w:t>roposals</w:t>
      </w:r>
      <w:r w:rsidR="00326FB9" w:rsidRPr="003919FC">
        <w:t xml:space="preserve"> </w:t>
      </w:r>
      <w:r w:rsidR="004D2619">
        <w:t xml:space="preserve">addressing a </w:t>
      </w:r>
      <w:r w:rsidR="00036518" w:rsidRPr="003919FC">
        <w:t>range of</w:t>
      </w:r>
      <w:r w:rsidR="00A736C9" w:rsidRPr="003919FC">
        <w:t xml:space="preserve"> pressing</w:t>
      </w:r>
      <w:r w:rsidR="00036518" w:rsidRPr="003919FC">
        <w:t xml:space="preserve"> issues </w:t>
      </w:r>
      <w:r w:rsidR="00A736C9" w:rsidRPr="003919FC">
        <w:t xml:space="preserve">and social themes </w:t>
      </w:r>
      <w:r w:rsidR="00036518" w:rsidRPr="003919FC">
        <w:t>such as</w:t>
      </w:r>
      <w:r w:rsidR="00A736C9" w:rsidRPr="003919FC">
        <w:t xml:space="preserve"> community development, environmental sustainability</w:t>
      </w:r>
      <w:r w:rsidR="00C52496">
        <w:t>,</w:t>
      </w:r>
      <w:r w:rsidR="00A33630">
        <w:t xml:space="preserve"> and cultural identity</w:t>
      </w:r>
      <w:r w:rsidR="00124090">
        <w:t>.</w:t>
      </w:r>
      <w:r w:rsidR="00036518" w:rsidRPr="003919FC">
        <w:t xml:space="preserve"> </w:t>
      </w:r>
      <w:r w:rsidR="009E1FB4" w:rsidRPr="003919FC">
        <w:t>Many</w:t>
      </w:r>
      <w:r w:rsidR="00973C68" w:rsidRPr="003919FC">
        <w:t xml:space="preserve"> proposals</w:t>
      </w:r>
      <w:r w:rsidR="00036518" w:rsidRPr="003919FC">
        <w:t xml:space="preserve"> also address </w:t>
      </w:r>
      <w:r w:rsidR="00A736C9" w:rsidRPr="003919FC">
        <w:t>issues like displacement, immigration, natural disaster recovery</w:t>
      </w:r>
      <w:r w:rsidR="00B362A1" w:rsidRPr="003919FC">
        <w:t xml:space="preserve">, and public health and safety. </w:t>
      </w:r>
      <w:r w:rsidR="00A31045">
        <w:t>Additionally, t</w:t>
      </w:r>
      <w:r w:rsidR="00842549">
        <w:t xml:space="preserve">he </w:t>
      </w:r>
      <w:r w:rsidR="00B362A1" w:rsidRPr="003919FC">
        <w:t>proposals</w:t>
      </w:r>
      <w:r w:rsidR="00BB306A">
        <w:t xml:space="preserve"> </w:t>
      </w:r>
      <w:r w:rsidR="00B362A1" w:rsidRPr="003919FC">
        <w:t>reflect a diverse use of</w:t>
      </w:r>
      <w:r w:rsidR="009756D2">
        <w:t xml:space="preserve"> artistic</w:t>
      </w:r>
      <w:r w:rsidR="00B362A1" w:rsidRPr="003919FC">
        <w:t xml:space="preserve"> mediums including </w:t>
      </w:r>
      <w:r w:rsidR="006E7367">
        <w:t>augmented</w:t>
      </w:r>
      <w:r w:rsidR="006E7367" w:rsidRPr="003919FC">
        <w:t xml:space="preserve"> </w:t>
      </w:r>
      <w:r w:rsidR="00B362A1" w:rsidRPr="003919FC">
        <w:t xml:space="preserve">reality, </w:t>
      </w:r>
      <w:r w:rsidR="006E7367" w:rsidRPr="003919FC">
        <w:t>light installations</w:t>
      </w:r>
      <w:r w:rsidR="006E7367">
        <w:t>,</w:t>
      </w:r>
      <w:r w:rsidR="006E7367" w:rsidRPr="003919FC">
        <w:t xml:space="preserve"> </w:t>
      </w:r>
      <w:r w:rsidR="00B362A1" w:rsidRPr="003919FC">
        <w:t xml:space="preserve">murals, and performances. </w:t>
      </w:r>
    </w:p>
    <w:p w14:paraId="0EA9C8E1" w14:textId="77777777" w:rsidR="009856FC" w:rsidRDefault="009856FC" w:rsidP="00170FB1">
      <w:pPr>
        <w:spacing w:after="0" w:line="240" w:lineRule="auto"/>
      </w:pPr>
    </w:p>
    <w:p w14:paraId="2A1653F2" w14:textId="71EC37D2" w:rsidR="00170FB1" w:rsidRPr="00170FB1" w:rsidRDefault="00170FB1" w:rsidP="00170FB1">
      <w:pPr>
        <w:spacing w:after="0" w:line="240" w:lineRule="auto"/>
      </w:pPr>
      <w:r w:rsidRPr="00170FB1">
        <w:t xml:space="preserve">"This year’s proposals focus on critical issues facing our country in exciting and creative ways,” said Michael R. Bloomberg, </w:t>
      </w:r>
      <w:r w:rsidR="00936530">
        <w:t xml:space="preserve">founder of Bloomberg Philanthropies and Mayor of New York City 2002-2013. </w:t>
      </w:r>
      <w:r>
        <w:t xml:space="preserve"> “The Public Art Challenge</w:t>
      </w:r>
      <w:r w:rsidRPr="00170FB1">
        <w:t xml:space="preserve"> helps to highlight the role that public art plays in provoking conversation, supporting collaboration, and building strong communities, and we’re looking forward to announcing the winners.”</w:t>
      </w:r>
    </w:p>
    <w:p w14:paraId="64C112A7" w14:textId="77777777" w:rsidR="00471B87" w:rsidRPr="003919FC" w:rsidRDefault="00471B87" w:rsidP="0056409D">
      <w:pPr>
        <w:spacing w:after="0" w:line="240" w:lineRule="auto"/>
      </w:pPr>
    </w:p>
    <w:p w14:paraId="11057E37" w14:textId="4BE0A042" w:rsidR="0056409D" w:rsidRPr="00FF2E7F" w:rsidRDefault="00AC1A2C" w:rsidP="0056409D">
      <w:pPr>
        <w:spacing w:after="0" w:line="240" w:lineRule="auto"/>
      </w:pPr>
      <w:r w:rsidRPr="003919FC">
        <w:t>In February, Bl</w:t>
      </w:r>
      <w:r w:rsidR="00854DAE">
        <w:t>oomberg Philanthropies invited m</w:t>
      </w:r>
      <w:r w:rsidRPr="003919FC">
        <w:t xml:space="preserve">ayors of U.S. cities with 30,000 residents or more to submit proposals for temporary public art projects that address important civic issues, and demonstrate an </w:t>
      </w:r>
      <w:r w:rsidRPr="003919FC">
        <w:rPr>
          <w:rFonts w:cs="Arial"/>
        </w:rPr>
        <w:t>ability to generate public-private collaborations, celebrate creativity and urban identity, and strengthen local economies</w:t>
      </w:r>
      <w:r w:rsidRPr="003919FC">
        <w:t>.</w:t>
      </w:r>
      <w:r w:rsidR="00ED5CEB" w:rsidRPr="003919FC">
        <w:t xml:space="preserve"> </w:t>
      </w:r>
      <w:r w:rsidR="00F4133E" w:rsidRPr="00FF2E7F">
        <w:t xml:space="preserve">Bloomberg Philanthropies </w:t>
      </w:r>
      <w:r w:rsidR="004D2619">
        <w:t xml:space="preserve">has selected the following 14 cities to advance to the next round for consideration by submitting more detailed plans on </w:t>
      </w:r>
      <w:r w:rsidR="006C7EFD">
        <w:t xml:space="preserve">their </w:t>
      </w:r>
      <w:r w:rsidR="004D2619">
        <w:t>project</w:t>
      </w:r>
      <w:r w:rsidR="006C7EFD">
        <w:t>s</w:t>
      </w:r>
      <w:r w:rsidR="004D2619">
        <w:t xml:space="preserve">. </w:t>
      </w:r>
    </w:p>
    <w:p w14:paraId="1AC7B536" w14:textId="77777777" w:rsidR="00187883" w:rsidRPr="003919FC" w:rsidRDefault="00187883" w:rsidP="00187883">
      <w:pPr>
        <w:pStyle w:val="ListParagraph"/>
        <w:spacing w:after="0" w:line="240" w:lineRule="auto"/>
      </w:pPr>
    </w:p>
    <w:p w14:paraId="7A7F990D" w14:textId="77777777" w:rsidR="00115668" w:rsidRPr="001B4F6F" w:rsidRDefault="00A736C9" w:rsidP="006452D9">
      <w:pPr>
        <w:spacing w:after="0" w:line="240" w:lineRule="auto"/>
        <w:ind w:left="360"/>
        <w:rPr>
          <w:b/>
          <w:noProof/>
        </w:rPr>
      </w:pPr>
      <w:r w:rsidRPr="001B4F6F">
        <w:rPr>
          <w:b/>
          <w:noProof/>
        </w:rPr>
        <w:t>Anchorage, AK</w:t>
      </w:r>
      <w:r w:rsidR="00115668" w:rsidRPr="001B4F6F">
        <w:rPr>
          <w:b/>
          <w:noProof/>
        </w:rPr>
        <w:t xml:space="preserve"> </w:t>
      </w:r>
      <w:r w:rsidR="00115668" w:rsidRPr="001B4F6F">
        <w:rPr>
          <w:b/>
        </w:rPr>
        <w:t>–</w:t>
      </w:r>
      <w:r w:rsidR="00E36A02" w:rsidRPr="001B4F6F">
        <w:rPr>
          <w:b/>
        </w:rPr>
        <w:t xml:space="preserve"> </w:t>
      </w:r>
      <w:r w:rsidR="00905948" w:rsidRPr="001B4F6F">
        <w:rPr>
          <w:b/>
          <w:noProof/>
        </w:rPr>
        <w:t xml:space="preserve">Addressing Energy </w:t>
      </w:r>
      <w:r w:rsidR="006452D9">
        <w:rPr>
          <w:b/>
          <w:noProof/>
        </w:rPr>
        <w:t xml:space="preserve">Policy and Economic Development: </w:t>
      </w:r>
      <w:r w:rsidR="00115668" w:rsidRPr="001B4F6F">
        <w:rPr>
          <w:b/>
          <w:noProof/>
        </w:rPr>
        <w:t>“SEED Community”</w:t>
      </w:r>
    </w:p>
    <w:p w14:paraId="26CD2FD6" w14:textId="138EBA1E" w:rsidR="00574EE6" w:rsidRPr="00574EE6" w:rsidRDefault="00905948" w:rsidP="00574EE6">
      <w:pPr>
        <w:autoSpaceDE w:val="0"/>
        <w:autoSpaceDN w:val="0"/>
        <w:adjustRightInd w:val="0"/>
        <w:spacing w:after="0" w:line="240" w:lineRule="auto"/>
        <w:ind w:left="360"/>
        <w:rPr>
          <w:noProof/>
        </w:rPr>
      </w:pPr>
      <w:r w:rsidRPr="006626C6">
        <w:rPr>
          <w:noProof/>
        </w:rPr>
        <w:t>The City of Anchorage proposes a partnership with the Anchorage Museum</w:t>
      </w:r>
      <w:r w:rsidR="00543D00">
        <w:rPr>
          <w:noProof/>
        </w:rPr>
        <w:t xml:space="preserve"> to address climate change. </w:t>
      </w:r>
      <w:r w:rsidR="00543D00" w:rsidRPr="006626C6">
        <w:rPr>
          <w:noProof/>
        </w:rPr>
        <w:t>The</w:t>
      </w:r>
      <w:r w:rsidR="00574EE6">
        <w:rPr>
          <w:noProof/>
        </w:rPr>
        <w:t xml:space="preserve"> partnership creates </w:t>
      </w:r>
      <w:r w:rsidR="00543D00">
        <w:rPr>
          <w:noProof/>
        </w:rPr>
        <w:t>“SEED Lab,” a center bring</w:t>
      </w:r>
      <w:r w:rsidR="00250ADA">
        <w:rPr>
          <w:noProof/>
        </w:rPr>
        <w:t>ing</w:t>
      </w:r>
      <w:r w:rsidR="00543D00">
        <w:rPr>
          <w:noProof/>
        </w:rPr>
        <w:t xml:space="preserve"> </w:t>
      </w:r>
      <w:r w:rsidR="00543D00" w:rsidRPr="006626C6">
        <w:rPr>
          <w:noProof/>
        </w:rPr>
        <w:t>together artists, designers, engineers</w:t>
      </w:r>
      <w:r w:rsidR="00400672">
        <w:rPr>
          <w:noProof/>
        </w:rPr>
        <w:t>,</w:t>
      </w:r>
      <w:r w:rsidR="00543D00" w:rsidRPr="006626C6">
        <w:rPr>
          <w:noProof/>
        </w:rPr>
        <w:t xml:space="preserve"> and community members to embed </w:t>
      </w:r>
      <w:r w:rsidR="00543D00">
        <w:rPr>
          <w:noProof/>
        </w:rPr>
        <w:t xml:space="preserve">energy efficient </w:t>
      </w:r>
      <w:r w:rsidR="00543D00" w:rsidRPr="006626C6">
        <w:rPr>
          <w:noProof/>
        </w:rPr>
        <w:t xml:space="preserve">solutions </w:t>
      </w:r>
      <w:r w:rsidR="00543D00">
        <w:rPr>
          <w:noProof/>
        </w:rPr>
        <w:t>into city planning.</w:t>
      </w:r>
      <w:r w:rsidR="00A340CB">
        <w:rPr>
          <w:noProof/>
        </w:rPr>
        <w:t xml:space="preserve"> </w:t>
      </w:r>
      <w:r w:rsidR="00763230">
        <w:rPr>
          <w:noProof/>
        </w:rPr>
        <w:t>T</w:t>
      </w:r>
      <w:r w:rsidR="00543D00">
        <w:rPr>
          <w:noProof/>
        </w:rPr>
        <w:t xml:space="preserve">he partnership will </w:t>
      </w:r>
      <w:r w:rsidRPr="006626C6">
        <w:rPr>
          <w:noProof/>
        </w:rPr>
        <w:t xml:space="preserve">turn a neglected downtown </w:t>
      </w:r>
      <w:r w:rsidR="006626C6" w:rsidRPr="006626C6">
        <w:rPr>
          <w:noProof/>
        </w:rPr>
        <w:t xml:space="preserve">building </w:t>
      </w:r>
      <w:r w:rsidR="00C90742" w:rsidRPr="001B4F6F">
        <w:rPr>
          <w:rFonts w:cs="Verdana"/>
        </w:rPr>
        <w:t>in the city's nascent design d</w:t>
      </w:r>
      <w:r w:rsidR="006626C6" w:rsidRPr="001B4F6F">
        <w:rPr>
          <w:rFonts w:cs="Verdana"/>
        </w:rPr>
        <w:t>istrict into a vibrant and vital civic center</w:t>
      </w:r>
      <w:r w:rsidR="00AD4DBF">
        <w:rPr>
          <w:rFonts w:cs="Verdana"/>
        </w:rPr>
        <w:t>.</w:t>
      </w:r>
      <w:r w:rsidR="006626C6" w:rsidRPr="006626C6">
        <w:rPr>
          <w:noProof/>
        </w:rPr>
        <w:t xml:space="preserve">  </w:t>
      </w:r>
    </w:p>
    <w:p w14:paraId="31E4D2E1" w14:textId="77777777" w:rsidR="00905948" w:rsidRPr="003919FC" w:rsidRDefault="00905948" w:rsidP="001B4F6F">
      <w:pPr>
        <w:pStyle w:val="ListParagraph"/>
        <w:spacing w:after="0" w:line="240" w:lineRule="auto"/>
        <w:ind w:left="1440"/>
        <w:rPr>
          <w:b/>
        </w:rPr>
      </w:pPr>
    </w:p>
    <w:p w14:paraId="327ACB05" w14:textId="77777777" w:rsidR="00115668" w:rsidRPr="001B4F6F" w:rsidRDefault="00115668" w:rsidP="006452D9">
      <w:pPr>
        <w:spacing w:after="0" w:line="240" w:lineRule="auto"/>
        <w:ind w:left="360"/>
        <w:rPr>
          <w:b/>
        </w:rPr>
      </w:pPr>
      <w:r w:rsidRPr="001B4F6F">
        <w:rPr>
          <w:b/>
        </w:rPr>
        <w:t>Austin, TX –</w:t>
      </w:r>
      <w:r w:rsidR="008361F4" w:rsidRPr="001B4F6F">
        <w:rPr>
          <w:b/>
        </w:rPr>
        <w:t xml:space="preserve"> </w:t>
      </w:r>
      <w:r w:rsidR="00905948" w:rsidRPr="001B4F6F">
        <w:rPr>
          <w:b/>
        </w:rPr>
        <w:t xml:space="preserve">Promoting Cultural </w:t>
      </w:r>
      <w:r w:rsidR="006452D9" w:rsidRPr="001B4F6F">
        <w:rPr>
          <w:b/>
        </w:rPr>
        <w:t>Equity:</w:t>
      </w:r>
      <w:r w:rsidR="006452D9">
        <w:rPr>
          <w:b/>
        </w:rPr>
        <w:t xml:space="preserve"> </w:t>
      </w:r>
      <w:r w:rsidRPr="001B4F6F">
        <w:rPr>
          <w:b/>
        </w:rPr>
        <w:t>“Right to the City”</w:t>
      </w:r>
    </w:p>
    <w:p w14:paraId="2BCB4B05" w14:textId="2C3C53A1" w:rsidR="00115668" w:rsidRPr="006452D9" w:rsidRDefault="00250ADA" w:rsidP="006452D9">
      <w:pPr>
        <w:spacing w:after="0" w:line="240" w:lineRule="auto"/>
        <w:ind w:left="360"/>
      </w:pPr>
      <w:r>
        <w:t>The City of Austin proposes filling</w:t>
      </w:r>
      <w:r w:rsidR="00905948" w:rsidRPr="003919FC">
        <w:t xml:space="preserve"> public parks in underserved communities with artwork </w:t>
      </w:r>
      <w:r w:rsidR="00B34BF0">
        <w:t>to s</w:t>
      </w:r>
      <w:r w:rsidR="00D26DED">
        <w:t>hine a light on cultural equity</w:t>
      </w:r>
      <w:r w:rsidR="00905948" w:rsidRPr="003919FC">
        <w:t>.</w:t>
      </w:r>
      <w:r w:rsidR="00811F54" w:rsidRPr="00811F54">
        <w:t xml:space="preserve"> </w:t>
      </w:r>
      <w:r w:rsidR="009E4441">
        <w:t>T</w:t>
      </w:r>
      <w:r w:rsidR="00811F54">
        <w:t xml:space="preserve">he </w:t>
      </w:r>
      <w:r w:rsidR="000D72F6">
        <w:t xml:space="preserve">city </w:t>
      </w:r>
      <w:r w:rsidR="005A0F20">
        <w:t>seeks to encourage</w:t>
      </w:r>
      <w:r w:rsidR="00D74C40">
        <w:t xml:space="preserve"> collaborat</w:t>
      </w:r>
      <w:r w:rsidR="005A0F20">
        <w:t>ion</w:t>
      </w:r>
      <w:r w:rsidR="00D74C40">
        <w:t xml:space="preserve"> with artist</w:t>
      </w:r>
      <w:r>
        <w:t>s</w:t>
      </w:r>
      <w:r w:rsidR="00D74C40">
        <w:t xml:space="preserve"> </w:t>
      </w:r>
      <w:r w:rsidR="005A0F20">
        <w:t xml:space="preserve">by </w:t>
      </w:r>
      <w:r w:rsidR="00D74C40">
        <w:t>creating</w:t>
      </w:r>
      <w:r w:rsidR="00811F54">
        <w:t xml:space="preserve"> </w:t>
      </w:r>
      <w:r w:rsidR="00724C1E">
        <w:t xml:space="preserve">works </w:t>
      </w:r>
      <w:r w:rsidR="005A0F20">
        <w:t xml:space="preserve">that </w:t>
      </w:r>
      <w:r w:rsidR="00811F54">
        <w:t>reflect</w:t>
      </w:r>
      <w:r>
        <w:t xml:space="preserve"> the c</w:t>
      </w:r>
      <w:r w:rsidR="005A0F20">
        <w:t>ity’s</w:t>
      </w:r>
      <w:r w:rsidR="00811F54">
        <w:t xml:space="preserve"> unique cultural heritage and identities.</w:t>
      </w:r>
      <w:r w:rsidR="00D26DED" w:rsidRPr="00D26DED">
        <w:t xml:space="preserve"> </w:t>
      </w:r>
      <w:r w:rsidR="00582DD9">
        <w:t>The in</w:t>
      </w:r>
      <w:r w:rsidR="002B0EA4">
        <w:t>stallations</w:t>
      </w:r>
      <w:r w:rsidR="00582DD9">
        <w:t xml:space="preserve"> </w:t>
      </w:r>
      <w:r w:rsidR="00D26DED">
        <w:t xml:space="preserve">will come together </w:t>
      </w:r>
      <w:r>
        <w:t>through a partnership with the c</w:t>
      </w:r>
      <w:r w:rsidR="00D26DED">
        <w:t>ity, t</w:t>
      </w:r>
      <w:r w:rsidR="00D26DED" w:rsidRPr="003919FC">
        <w:t>he Contemporary Austin Museum</w:t>
      </w:r>
      <w:r w:rsidR="00707252">
        <w:t>,</w:t>
      </w:r>
      <w:r w:rsidR="00D26DED" w:rsidRPr="003919FC">
        <w:t xml:space="preserve"> and artist collective SUPERFLEX</w:t>
      </w:r>
      <w:r w:rsidR="00D26DED">
        <w:t>.</w:t>
      </w:r>
    </w:p>
    <w:p w14:paraId="3109CE3E" w14:textId="77777777" w:rsidR="00115668" w:rsidRPr="003919FC" w:rsidRDefault="00115668" w:rsidP="001B4F6F">
      <w:pPr>
        <w:pStyle w:val="ListParagraph"/>
        <w:spacing w:after="0" w:line="240" w:lineRule="auto"/>
        <w:ind w:left="1440"/>
      </w:pPr>
    </w:p>
    <w:p w14:paraId="6039E8AE" w14:textId="67DDAA1B" w:rsidR="00115668" w:rsidRPr="001B4F6F" w:rsidRDefault="00905948" w:rsidP="001B4F6F">
      <w:pPr>
        <w:spacing w:after="0" w:line="240" w:lineRule="auto"/>
        <w:ind w:left="360"/>
        <w:rPr>
          <w:b/>
        </w:rPr>
      </w:pPr>
      <w:r w:rsidRPr="001B4F6F">
        <w:rPr>
          <w:b/>
        </w:rPr>
        <w:t>Bal</w:t>
      </w:r>
      <w:r w:rsidR="00115668" w:rsidRPr="001B4F6F">
        <w:rPr>
          <w:b/>
        </w:rPr>
        <w:t>timore, MD – Enhancing Pub</w:t>
      </w:r>
      <w:r w:rsidR="00640A10">
        <w:rPr>
          <w:b/>
        </w:rPr>
        <w:t>lic</w:t>
      </w:r>
      <w:r w:rsidR="00255EF8">
        <w:rPr>
          <w:b/>
        </w:rPr>
        <w:t xml:space="preserve"> Safety b</w:t>
      </w:r>
      <w:r w:rsidR="00D74C40">
        <w:rPr>
          <w:b/>
        </w:rPr>
        <w:t>y Reducing Violence</w:t>
      </w:r>
      <w:r w:rsidR="001B4F6F" w:rsidRPr="001B4F6F">
        <w:rPr>
          <w:b/>
        </w:rPr>
        <w:t xml:space="preserve">: </w:t>
      </w:r>
      <w:r w:rsidR="00115668" w:rsidRPr="001B4F6F">
        <w:rPr>
          <w:b/>
        </w:rPr>
        <w:t>“</w:t>
      </w:r>
      <w:r w:rsidRPr="001B4F6F">
        <w:rPr>
          <w:b/>
        </w:rPr>
        <w:t>The Baltimore Resurgence Project</w:t>
      </w:r>
      <w:r w:rsidR="00115668" w:rsidRPr="001B4F6F">
        <w:rPr>
          <w:b/>
        </w:rPr>
        <w:t>”</w:t>
      </w:r>
    </w:p>
    <w:p w14:paraId="28A031FB" w14:textId="7A5A184C" w:rsidR="00181B3B" w:rsidRPr="003919FC" w:rsidRDefault="00C87858" w:rsidP="001B4F6F">
      <w:pPr>
        <w:spacing w:after="0" w:line="240" w:lineRule="auto"/>
        <w:ind w:left="360"/>
      </w:pPr>
      <w:r w:rsidRPr="003919FC">
        <w:t>The City of Baltimore proposes creating a series of mural</w:t>
      </w:r>
      <w:r w:rsidR="002E4544">
        <w:t>s</w:t>
      </w:r>
      <w:r w:rsidRPr="003919FC">
        <w:t xml:space="preserve"> and sustainable landscape projects to address public safety in connection with Baltimore’s Violence Reduction Initiative. </w:t>
      </w:r>
      <w:r w:rsidR="00181B3B" w:rsidRPr="00EB7AE4">
        <w:t xml:space="preserve">The proposed project will be a multi-sector collaboration between </w:t>
      </w:r>
      <w:r w:rsidR="00181B3B">
        <w:t xml:space="preserve">the </w:t>
      </w:r>
      <w:r w:rsidR="00181B3B" w:rsidRPr="00EB7AE4">
        <w:t xml:space="preserve">Arts </w:t>
      </w:r>
      <w:r w:rsidR="00265C55">
        <w:t>&amp;</w:t>
      </w:r>
      <w:r w:rsidR="00181B3B" w:rsidRPr="00EB7AE4">
        <w:t xml:space="preserve"> Parks</w:t>
      </w:r>
      <w:r w:rsidR="00265C55">
        <w:t xml:space="preserve"> organization</w:t>
      </w:r>
      <w:r w:rsidR="00181B3B" w:rsidRPr="00EB7AE4">
        <w:t>, the Baltimore</w:t>
      </w:r>
      <w:r w:rsidR="003E36F5">
        <w:t xml:space="preserve"> Office of Promotion &amp; </w:t>
      </w:r>
      <w:proofErr w:type="gramStart"/>
      <w:r w:rsidR="003E36F5">
        <w:t>The</w:t>
      </w:r>
      <w:proofErr w:type="gramEnd"/>
      <w:r w:rsidR="003E36F5">
        <w:t xml:space="preserve"> Arts</w:t>
      </w:r>
      <w:r w:rsidR="00C61962">
        <w:t>,</w:t>
      </w:r>
      <w:r w:rsidR="00181B3B" w:rsidRPr="00EB7AE4">
        <w:t xml:space="preserve"> and Baltimore's Mayor's Office on Criminal Justice</w:t>
      </w:r>
      <w:r w:rsidR="00FA4174">
        <w:t>.</w:t>
      </w:r>
      <w:r w:rsidR="00181B3B" w:rsidRPr="00EB7AE4">
        <w:t xml:space="preserve"> </w:t>
      </w:r>
      <w:r w:rsidR="00265C55">
        <w:t xml:space="preserve"> </w:t>
      </w:r>
    </w:p>
    <w:p w14:paraId="24AA2AB3" w14:textId="77777777" w:rsidR="00C87858" w:rsidRPr="003919FC" w:rsidRDefault="00C87858" w:rsidP="001B4F6F">
      <w:pPr>
        <w:spacing w:after="0" w:line="240" w:lineRule="auto"/>
      </w:pPr>
    </w:p>
    <w:p w14:paraId="7AC53E6B" w14:textId="77777777" w:rsidR="00197361" w:rsidRDefault="00197361" w:rsidP="001B4F6F">
      <w:pPr>
        <w:spacing w:after="0" w:line="240" w:lineRule="auto"/>
        <w:ind w:left="360"/>
        <w:rPr>
          <w:b/>
        </w:rPr>
      </w:pPr>
    </w:p>
    <w:p w14:paraId="2F34D791" w14:textId="319D4DFA" w:rsidR="00115668" w:rsidRPr="001B4F6F" w:rsidRDefault="00115668" w:rsidP="001B4F6F">
      <w:pPr>
        <w:spacing w:after="0" w:line="240" w:lineRule="auto"/>
        <w:ind w:left="360"/>
        <w:rPr>
          <w:b/>
        </w:rPr>
      </w:pPr>
      <w:r w:rsidRPr="001B4F6F">
        <w:rPr>
          <w:b/>
        </w:rPr>
        <w:lastRenderedPageBreak/>
        <w:t xml:space="preserve">Camden, NJ – </w:t>
      </w:r>
      <w:r w:rsidR="00C87858" w:rsidRPr="001B4F6F">
        <w:rPr>
          <w:b/>
        </w:rPr>
        <w:t>Transforming Illega</w:t>
      </w:r>
      <w:r w:rsidR="00640A10">
        <w:rPr>
          <w:b/>
        </w:rPr>
        <w:t xml:space="preserve">l Dumping Lots </w:t>
      </w:r>
      <w:r w:rsidR="00255EF8">
        <w:rPr>
          <w:b/>
        </w:rPr>
        <w:t>i</w:t>
      </w:r>
      <w:r w:rsidR="00640A10">
        <w:rPr>
          <w:b/>
        </w:rPr>
        <w:t>nto</w:t>
      </w:r>
      <w:r w:rsidR="001B4F6F" w:rsidRPr="001B4F6F">
        <w:rPr>
          <w:b/>
        </w:rPr>
        <w:t xml:space="preserve"> Arts Spaces: </w:t>
      </w:r>
      <w:r w:rsidRPr="001B4F6F">
        <w:rPr>
          <w:b/>
        </w:rPr>
        <w:t>“A New View”</w:t>
      </w:r>
    </w:p>
    <w:p w14:paraId="193E948B" w14:textId="3CA6EB11" w:rsidR="006B2311" w:rsidRDefault="00C87858" w:rsidP="001B4F6F">
      <w:pPr>
        <w:spacing w:after="0" w:line="240" w:lineRule="auto"/>
        <w:ind w:left="360"/>
      </w:pPr>
      <w:r w:rsidRPr="003919FC">
        <w:t xml:space="preserve">The City of Camden proposes transforming lots </w:t>
      </w:r>
      <w:r w:rsidR="00FA4174">
        <w:t xml:space="preserve">currently </w:t>
      </w:r>
      <w:r w:rsidRPr="003919FC">
        <w:t>used for illegal dumping along major transportatio</w:t>
      </w:r>
      <w:r w:rsidR="003E36F5">
        <w:t xml:space="preserve">n highways into spaces </w:t>
      </w:r>
      <w:r w:rsidRPr="003919FC">
        <w:t>with arts programming.</w:t>
      </w:r>
      <w:r w:rsidR="00EB7AE4" w:rsidRPr="00EB7AE4">
        <w:t xml:space="preserve"> </w:t>
      </w:r>
      <w:r w:rsidR="006B2311">
        <w:t xml:space="preserve">Spaces </w:t>
      </w:r>
      <w:r w:rsidR="00E718D8">
        <w:t xml:space="preserve">located along the city's downtown transit hub </w:t>
      </w:r>
      <w:r w:rsidR="006B2311">
        <w:t xml:space="preserve">will be converted into multi-purpose community forums to host art installations </w:t>
      </w:r>
      <w:r w:rsidR="00FA4174">
        <w:t xml:space="preserve">and </w:t>
      </w:r>
      <w:r w:rsidR="00E718D8">
        <w:t xml:space="preserve">provide </w:t>
      </w:r>
      <w:r w:rsidR="006B2311">
        <w:t>a visual narrative to the more than 65,000 people who travel through Camden daily.</w:t>
      </w:r>
    </w:p>
    <w:p w14:paraId="10D55B2F" w14:textId="77777777" w:rsidR="00C87858" w:rsidRPr="003919FC" w:rsidRDefault="00C87858" w:rsidP="001B4F6F">
      <w:pPr>
        <w:spacing w:after="0" w:line="240" w:lineRule="auto"/>
        <w:rPr>
          <w:highlight w:val="yellow"/>
        </w:rPr>
      </w:pPr>
    </w:p>
    <w:p w14:paraId="6417E6E0" w14:textId="26AAFCBD" w:rsidR="00115668" w:rsidRPr="001B4F6F" w:rsidRDefault="00115668" w:rsidP="001B4F6F">
      <w:pPr>
        <w:spacing w:after="0" w:line="240" w:lineRule="auto"/>
        <w:ind w:left="360"/>
        <w:rPr>
          <w:b/>
        </w:rPr>
      </w:pPr>
      <w:r w:rsidRPr="001B4F6F">
        <w:rPr>
          <w:b/>
        </w:rPr>
        <w:t xml:space="preserve">Coral Springs, FL – </w:t>
      </w:r>
      <w:r w:rsidR="00D867E1" w:rsidRPr="001B4F6F">
        <w:rPr>
          <w:b/>
        </w:rPr>
        <w:t>Inspiring Commu</w:t>
      </w:r>
      <w:r w:rsidR="00640A10">
        <w:rPr>
          <w:b/>
        </w:rPr>
        <w:t>nity Healing A</w:t>
      </w:r>
      <w:r w:rsidR="001B4F6F" w:rsidRPr="001B4F6F">
        <w:rPr>
          <w:b/>
        </w:rPr>
        <w:t xml:space="preserve">fter Gun Violence: </w:t>
      </w:r>
      <w:r w:rsidRPr="001B4F6F">
        <w:rPr>
          <w:b/>
        </w:rPr>
        <w:t>“The Power of Art”</w:t>
      </w:r>
    </w:p>
    <w:p w14:paraId="04010030" w14:textId="7145F652" w:rsidR="00C87858" w:rsidRPr="003919FC" w:rsidRDefault="00C87858" w:rsidP="001B4F6F">
      <w:pPr>
        <w:spacing w:after="0" w:line="240" w:lineRule="auto"/>
        <w:ind w:left="360"/>
      </w:pPr>
      <w:r w:rsidRPr="003919FC">
        <w:t>The City of Coral Springs</w:t>
      </w:r>
      <w:r w:rsidR="00400B24">
        <w:t xml:space="preserve"> </w:t>
      </w:r>
      <w:r w:rsidR="00400B24" w:rsidRPr="00400B24">
        <w:t>in partne</w:t>
      </w:r>
      <w:r w:rsidR="00400B24">
        <w:t>rship with the City of Parkland</w:t>
      </w:r>
      <w:r w:rsidRPr="003919FC">
        <w:t xml:space="preserve"> proposes developing five temporary installations to bring the community together in collective healing</w:t>
      </w:r>
      <w:r w:rsidR="001F285B" w:rsidRPr="003919FC">
        <w:t xml:space="preserve"> and reflection</w:t>
      </w:r>
      <w:r w:rsidRPr="003919FC">
        <w:t xml:space="preserve"> following the Marjory </w:t>
      </w:r>
      <w:proofErr w:type="spellStart"/>
      <w:r w:rsidRPr="003919FC">
        <w:t>Stoneman</w:t>
      </w:r>
      <w:proofErr w:type="spellEnd"/>
      <w:r w:rsidR="009527B8">
        <w:t xml:space="preserve"> Douglas H</w:t>
      </w:r>
      <w:r w:rsidR="00707252">
        <w:t>igh School shooting in February</w:t>
      </w:r>
      <w:r w:rsidRPr="003919FC">
        <w:t xml:space="preserve"> </w:t>
      </w:r>
      <w:r w:rsidR="00273B6C">
        <w:t xml:space="preserve">of </w:t>
      </w:r>
      <w:r w:rsidRPr="003919FC">
        <w:t>2018.</w:t>
      </w:r>
      <w:r w:rsidR="002A3A1C">
        <w:t xml:space="preserve"> </w:t>
      </w:r>
      <w:r w:rsidR="00F82C32">
        <w:t xml:space="preserve">The artworks will serve as the community's vision of change and hope for the future. The project will draw on and support Coral Springs Museum of Art's </w:t>
      </w:r>
      <w:r w:rsidR="00C95B0D">
        <w:t>“</w:t>
      </w:r>
      <w:r w:rsidR="00F82C32">
        <w:t>Healing with Art,</w:t>
      </w:r>
      <w:r w:rsidR="00C95B0D">
        <w:t>”</w:t>
      </w:r>
      <w:r w:rsidR="00F82C32">
        <w:t xml:space="preserve"> </w:t>
      </w:r>
      <w:r w:rsidR="00FA4174">
        <w:t xml:space="preserve">an art therapy program </w:t>
      </w:r>
      <w:r w:rsidR="00F82C32">
        <w:t xml:space="preserve">which began as an immediate response to the shooting. </w:t>
      </w:r>
    </w:p>
    <w:p w14:paraId="3570D8A0" w14:textId="77777777" w:rsidR="00C87858" w:rsidRPr="003919FC" w:rsidRDefault="00C87858" w:rsidP="001B4F6F">
      <w:pPr>
        <w:pStyle w:val="ListParagraph"/>
        <w:spacing w:after="0" w:line="240" w:lineRule="auto"/>
        <w:ind w:left="1440"/>
        <w:rPr>
          <w:highlight w:val="yellow"/>
        </w:rPr>
      </w:pPr>
    </w:p>
    <w:p w14:paraId="45334BE4" w14:textId="313A269F" w:rsidR="00115668" w:rsidRPr="001B4F6F" w:rsidRDefault="00C87858" w:rsidP="001B4F6F">
      <w:pPr>
        <w:spacing w:after="0" w:line="240" w:lineRule="auto"/>
        <w:ind w:left="360"/>
        <w:rPr>
          <w:b/>
        </w:rPr>
      </w:pPr>
      <w:r w:rsidRPr="001B4F6F">
        <w:rPr>
          <w:b/>
        </w:rPr>
        <w:t xml:space="preserve">El Paso, TX </w:t>
      </w:r>
      <w:r w:rsidR="00115668" w:rsidRPr="001B4F6F">
        <w:rPr>
          <w:b/>
        </w:rPr>
        <w:t xml:space="preserve">– </w:t>
      </w:r>
      <w:r w:rsidR="00D867E1" w:rsidRPr="001B4F6F">
        <w:rPr>
          <w:b/>
        </w:rPr>
        <w:t>Strengthening Cross-Border Relati</w:t>
      </w:r>
      <w:r w:rsidR="00255EF8">
        <w:rPr>
          <w:b/>
        </w:rPr>
        <w:t>ons b</w:t>
      </w:r>
      <w:r w:rsidR="001B4F6F" w:rsidRPr="001B4F6F">
        <w:rPr>
          <w:b/>
        </w:rPr>
        <w:t xml:space="preserve">etween the U.S. and Mexico: </w:t>
      </w:r>
      <w:r w:rsidR="00115668" w:rsidRPr="001B4F6F">
        <w:rPr>
          <w:b/>
        </w:rPr>
        <w:t>“Border Tuner”</w:t>
      </w:r>
    </w:p>
    <w:p w14:paraId="5BF33488" w14:textId="56BD0DDE" w:rsidR="00D867E1" w:rsidRPr="003919FC" w:rsidRDefault="00D867E1" w:rsidP="001B4F6F">
      <w:pPr>
        <w:spacing w:after="0" w:line="240" w:lineRule="auto"/>
        <w:ind w:left="360"/>
      </w:pPr>
      <w:r w:rsidRPr="003919FC">
        <w:t>The City of El Paso proposes t</w:t>
      </w:r>
      <w:r w:rsidR="00AF270C">
        <w:t>he development of a large-scale</w:t>
      </w:r>
      <w:r w:rsidRPr="003919FC">
        <w:t xml:space="preserve"> light </w:t>
      </w:r>
      <w:r w:rsidR="005F6638">
        <w:t xml:space="preserve">and sound </w:t>
      </w:r>
      <w:r w:rsidRPr="003919FC">
        <w:t>installation that highlights con</w:t>
      </w:r>
      <w:r w:rsidR="008C25BE">
        <w:t>nections between El Paso in the U.S.</w:t>
      </w:r>
      <w:r w:rsidR="000F754E" w:rsidRPr="003919FC">
        <w:t xml:space="preserve"> </w:t>
      </w:r>
      <w:r w:rsidRPr="003919FC">
        <w:t xml:space="preserve">and Ciudad </w:t>
      </w:r>
      <w:proofErr w:type="spellStart"/>
      <w:r w:rsidRPr="003919FC">
        <w:t>Juárez</w:t>
      </w:r>
      <w:proofErr w:type="spellEnd"/>
      <w:r w:rsidRPr="003919FC">
        <w:t xml:space="preserve"> in </w:t>
      </w:r>
      <w:r w:rsidRPr="00B64EF7">
        <w:t xml:space="preserve">Mexico. </w:t>
      </w:r>
      <w:r w:rsidR="009E7095" w:rsidRPr="00B64EF7">
        <w:t xml:space="preserve">The piece </w:t>
      </w:r>
      <w:r w:rsidR="007C55B4" w:rsidRPr="00B64EF7">
        <w:t>will provide</w:t>
      </w:r>
      <w:r w:rsidR="009E7095" w:rsidRPr="00B64EF7">
        <w:t xml:space="preserve"> a platform for a wide</w:t>
      </w:r>
      <w:r w:rsidR="00810675" w:rsidRPr="00B64EF7">
        <w:t xml:space="preserve"> </w:t>
      </w:r>
      <w:r w:rsidR="009E7095" w:rsidRPr="00B64EF7">
        <w:t xml:space="preserve">range of local voices and </w:t>
      </w:r>
      <w:r w:rsidR="00F231E9" w:rsidRPr="00B64EF7">
        <w:t xml:space="preserve">will be </w:t>
      </w:r>
      <w:r w:rsidR="009E7095" w:rsidRPr="00B64EF7">
        <w:t>an opportunity to draw international attention to the complexity and interdependence between the sister</w:t>
      </w:r>
      <w:r w:rsidR="00E63072" w:rsidRPr="00B64EF7">
        <w:t>-</w:t>
      </w:r>
      <w:r w:rsidR="008A7F43">
        <w:t>cities which</w:t>
      </w:r>
      <w:r w:rsidR="009E7095" w:rsidRPr="00B64EF7">
        <w:t xml:space="preserve"> create the largest bi-national metropolitan area in the western hemisphere.</w:t>
      </w:r>
    </w:p>
    <w:p w14:paraId="1C3322EB" w14:textId="77777777" w:rsidR="00115668" w:rsidRPr="003919FC" w:rsidRDefault="00115668" w:rsidP="001B4F6F">
      <w:pPr>
        <w:spacing w:after="0" w:line="240" w:lineRule="auto"/>
        <w:ind w:left="720"/>
        <w:rPr>
          <w:b/>
        </w:rPr>
      </w:pPr>
    </w:p>
    <w:p w14:paraId="70CF5F38" w14:textId="53F20176" w:rsidR="00115668" w:rsidRPr="001B4F6F" w:rsidRDefault="00115668" w:rsidP="001B4F6F">
      <w:pPr>
        <w:spacing w:after="0" w:line="240" w:lineRule="auto"/>
        <w:ind w:left="360"/>
        <w:rPr>
          <w:b/>
        </w:rPr>
      </w:pPr>
      <w:r w:rsidRPr="001B4F6F">
        <w:rPr>
          <w:b/>
        </w:rPr>
        <w:t xml:space="preserve">Holyoke, MA – </w:t>
      </w:r>
      <w:r w:rsidR="00D867E1" w:rsidRPr="001B4F6F">
        <w:rPr>
          <w:b/>
        </w:rPr>
        <w:t>Celebrat</w:t>
      </w:r>
      <w:r w:rsidR="001B4F6F" w:rsidRPr="001B4F6F">
        <w:rPr>
          <w:b/>
        </w:rPr>
        <w:t xml:space="preserve">ing Diverse Cultural Identities: </w:t>
      </w:r>
      <w:r w:rsidR="008525C6">
        <w:rPr>
          <w:b/>
        </w:rPr>
        <w:t xml:space="preserve">“El </w:t>
      </w:r>
      <w:proofErr w:type="spellStart"/>
      <w:r w:rsidR="008525C6">
        <w:rPr>
          <w:b/>
        </w:rPr>
        <w:t>C</w:t>
      </w:r>
      <w:r w:rsidR="005F6638">
        <w:rPr>
          <w:b/>
        </w:rPr>
        <w:t>o</w:t>
      </w:r>
      <w:r w:rsidRPr="001B4F6F">
        <w:rPr>
          <w:b/>
        </w:rPr>
        <w:t>raz</w:t>
      </w:r>
      <w:r w:rsidR="005F6638" w:rsidRPr="008525C6">
        <w:rPr>
          <w:b/>
        </w:rPr>
        <w:t>ó</w:t>
      </w:r>
      <w:r w:rsidR="00255EF8">
        <w:rPr>
          <w:b/>
        </w:rPr>
        <w:t>n</w:t>
      </w:r>
      <w:proofErr w:type="spellEnd"/>
      <w:r w:rsidR="00255EF8">
        <w:rPr>
          <w:b/>
        </w:rPr>
        <w:t xml:space="preserve"> d</w:t>
      </w:r>
      <w:r w:rsidRPr="001B4F6F">
        <w:rPr>
          <w:b/>
        </w:rPr>
        <w:t>e Holyoke/The Heart of Holyoke”</w:t>
      </w:r>
    </w:p>
    <w:p w14:paraId="5E84DCFB" w14:textId="4ED01AA0" w:rsidR="00F55115" w:rsidRDefault="00D867E1" w:rsidP="00245886">
      <w:pPr>
        <w:spacing w:after="0" w:line="240" w:lineRule="auto"/>
        <w:ind w:left="360"/>
      </w:pPr>
      <w:r w:rsidRPr="003919FC">
        <w:t>The City of Holyoke proposes developing visual art, performances</w:t>
      </w:r>
      <w:r w:rsidR="008A7F43">
        <w:t>,</w:t>
      </w:r>
      <w:r w:rsidRPr="003919FC">
        <w:t xml:space="preserve"> and cultural programming that celebrates the cultural identities of </w:t>
      </w:r>
      <w:proofErr w:type="spellStart"/>
      <w:r w:rsidRPr="003919FC">
        <w:t>Latinx</w:t>
      </w:r>
      <w:proofErr w:type="spellEnd"/>
      <w:r w:rsidRPr="003919FC">
        <w:t xml:space="preserve"> neighborhoods surrounding the city’s main street. </w:t>
      </w:r>
      <w:r w:rsidR="00F55115">
        <w:t xml:space="preserve">This project </w:t>
      </w:r>
      <w:r w:rsidR="00FA4174">
        <w:t xml:space="preserve">aims to </w:t>
      </w:r>
      <w:r w:rsidR="00F55115">
        <w:t>use the arts to improve neighborhood perceptions, support cultural pride, and catalyze economic opportunity</w:t>
      </w:r>
      <w:r w:rsidR="00CB39D8">
        <w:t>.</w:t>
      </w:r>
      <w:r w:rsidR="00F55115">
        <w:t xml:space="preserve"> </w:t>
      </w:r>
    </w:p>
    <w:p w14:paraId="2A1E69EB" w14:textId="77777777" w:rsidR="00D867E1" w:rsidRPr="003919FC" w:rsidRDefault="00D867E1" w:rsidP="001B4F6F">
      <w:pPr>
        <w:pStyle w:val="ListParagraph"/>
        <w:spacing w:after="0" w:line="240" w:lineRule="auto"/>
        <w:ind w:left="1440"/>
        <w:rPr>
          <w:highlight w:val="yellow"/>
        </w:rPr>
      </w:pPr>
    </w:p>
    <w:p w14:paraId="6BD222F4" w14:textId="59707B96" w:rsidR="00115668" w:rsidRPr="001B4F6F" w:rsidRDefault="00115668" w:rsidP="001B4F6F">
      <w:pPr>
        <w:spacing w:after="0" w:line="240" w:lineRule="auto"/>
        <w:ind w:left="360"/>
        <w:rPr>
          <w:b/>
        </w:rPr>
      </w:pPr>
      <w:r w:rsidRPr="001B4F6F">
        <w:rPr>
          <w:b/>
        </w:rPr>
        <w:t>Honolulu, HI –</w:t>
      </w:r>
      <w:r w:rsidR="004122B0">
        <w:rPr>
          <w:b/>
        </w:rPr>
        <w:t xml:space="preserve"> Shedding Light on Historical Narratives </w:t>
      </w:r>
      <w:r w:rsidR="00255EF8">
        <w:rPr>
          <w:b/>
        </w:rPr>
        <w:t>t</w:t>
      </w:r>
      <w:r w:rsidR="00C53494" w:rsidRPr="001B4F6F">
        <w:rPr>
          <w:b/>
        </w:rPr>
        <w:t>hrough Public Art</w:t>
      </w:r>
      <w:r w:rsidR="001B4F6F" w:rsidRPr="001B4F6F">
        <w:rPr>
          <w:b/>
        </w:rPr>
        <w:t xml:space="preserve">: </w:t>
      </w:r>
      <w:r w:rsidRPr="001B4F6F">
        <w:rPr>
          <w:b/>
        </w:rPr>
        <w:t>“Layers of Honolulu”</w:t>
      </w:r>
    </w:p>
    <w:p w14:paraId="7793C886" w14:textId="412712A8" w:rsidR="00D867E1" w:rsidRPr="003919FC" w:rsidRDefault="00D867E1" w:rsidP="001B4F6F">
      <w:pPr>
        <w:spacing w:after="0" w:line="240" w:lineRule="auto"/>
        <w:ind w:left="360"/>
      </w:pPr>
      <w:r w:rsidRPr="003919FC">
        <w:t>Th</w:t>
      </w:r>
      <w:r w:rsidR="00C53494" w:rsidRPr="003919FC">
        <w:t xml:space="preserve">e City of Honolulu proposes creating augmented reality art </w:t>
      </w:r>
      <w:r w:rsidR="0009531B">
        <w:t>experience</w:t>
      </w:r>
      <w:r w:rsidR="0009531B" w:rsidRPr="003919FC">
        <w:t xml:space="preserve">s </w:t>
      </w:r>
      <w:r w:rsidR="00C53494" w:rsidRPr="003919FC">
        <w:t>layered on ten bronze statues to tell the stories of Hawaiian communities that have been displaced due to colonialism and urban development</w:t>
      </w:r>
      <w:r w:rsidR="008A7F43">
        <w:t xml:space="preserve">. </w:t>
      </w:r>
      <w:r w:rsidR="00E63072">
        <w:t>T</w:t>
      </w:r>
      <w:r w:rsidR="006D276E">
        <w:t>he c</w:t>
      </w:r>
      <w:r w:rsidR="00121120" w:rsidRPr="00121120">
        <w:t xml:space="preserve">ity will </w:t>
      </w:r>
      <w:r w:rsidR="00E63072">
        <w:t xml:space="preserve">also </w:t>
      </w:r>
      <w:r w:rsidR="00121120" w:rsidRPr="00121120">
        <w:t>create and add augmented reality to two new temporary statues that honor underrepresented communities.</w:t>
      </w:r>
    </w:p>
    <w:p w14:paraId="7B80AD72" w14:textId="77777777" w:rsidR="00C53494" w:rsidRPr="003919FC" w:rsidRDefault="00C53494" w:rsidP="001B4F6F">
      <w:pPr>
        <w:pStyle w:val="ListParagraph"/>
        <w:spacing w:after="0" w:line="240" w:lineRule="auto"/>
        <w:ind w:left="1440"/>
      </w:pPr>
    </w:p>
    <w:p w14:paraId="128AD67E" w14:textId="7CDFFD1B" w:rsidR="00115668" w:rsidRPr="001B4F6F" w:rsidRDefault="00115668" w:rsidP="001B4F6F">
      <w:pPr>
        <w:spacing w:after="0" w:line="240" w:lineRule="auto"/>
        <w:ind w:left="360"/>
        <w:rPr>
          <w:b/>
        </w:rPr>
      </w:pPr>
      <w:r w:rsidRPr="001B4F6F">
        <w:rPr>
          <w:b/>
        </w:rPr>
        <w:t xml:space="preserve">Jackson, MS – </w:t>
      </w:r>
      <w:r w:rsidR="00C53494" w:rsidRPr="001B4F6F">
        <w:rPr>
          <w:b/>
        </w:rPr>
        <w:t>Inspi</w:t>
      </w:r>
      <w:r w:rsidR="0097357A">
        <w:rPr>
          <w:b/>
        </w:rPr>
        <w:t>ring Dialogue a</w:t>
      </w:r>
      <w:r w:rsidR="001B4F6F" w:rsidRPr="001B4F6F">
        <w:rPr>
          <w:b/>
        </w:rPr>
        <w:t xml:space="preserve">bout Food Access: </w:t>
      </w:r>
      <w:r w:rsidRPr="001B4F6F">
        <w:rPr>
          <w:b/>
        </w:rPr>
        <w:t>“Fertile Ground”</w:t>
      </w:r>
    </w:p>
    <w:p w14:paraId="73535EC9" w14:textId="45C22104" w:rsidR="00C53494" w:rsidRPr="00626BA9" w:rsidRDefault="00626BA9" w:rsidP="001B4F6F">
      <w:pPr>
        <w:spacing w:after="0" w:line="240" w:lineRule="auto"/>
        <w:ind w:left="360"/>
      </w:pPr>
      <w:r w:rsidRPr="003919FC">
        <w:t xml:space="preserve">The City of Jackson proposes a city-wide exhibition with installations and performances to promote dialogue and inform policy related to food access. </w:t>
      </w:r>
      <w:r w:rsidR="00AE4B27">
        <w:t>I</w:t>
      </w:r>
      <w:r w:rsidRPr="00626BA9">
        <w:t>nstallations and performances that explore food sovereignty, nutrition, domestic hun</w:t>
      </w:r>
      <w:r w:rsidR="00AE4B27">
        <w:t xml:space="preserve">ger, and the agrarian landscape will be deployed across areas of the city experiencing food access issues. </w:t>
      </w:r>
    </w:p>
    <w:p w14:paraId="60683C01" w14:textId="77777777" w:rsidR="00C53494" w:rsidRPr="003919FC" w:rsidRDefault="00C53494" w:rsidP="001B4F6F">
      <w:pPr>
        <w:spacing w:after="0" w:line="240" w:lineRule="auto"/>
        <w:ind w:left="720"/>
      </w:pPr>
    </w:p>
    <w:p w14:paraId="19D2DD4A" w14:textId="2CCC9C60" w:rsidR="00905948" w:rsidRPr="001B4F6F" w:rsidRDefault="00411EA7" w:rsidP="001B4F6F">
      <w:pPr>
        <w:spacing w:after="0" w:line="240" w:lineRule="auto"/>
        <w:ind w:left="360"/>
        <w:rPr>
          <w:b/>
        </w:rPr>
      </w:pPr>
      <w:r>
        <w:rPr>
          <w:b/>
        </w:rPr>
        <w:t>Miami-</w:t>
      </w:r>
      <w:r w:rsidR="00115668" w:rsidRPr="001B4F6F">
        <w:rPr>
          <w:b/>
        </w:rPr>
        <w:t>Dade County, FL – Raising Awareness about Climate Change through Public Art</w:t>
      </w:r>
      <w:r w:rsidR="001B4F6F" w:rsidRPr="001B4F6F">
        <w:rPr>
          <w:b/>
        </w:rPr>
        <w:t xml:space="preserve">: </w:t>
      </w:r>
      <w:r w:rsidR="00115668" w:rsidRPr="001B4F6F">
        <w:rPr>
          <w:b/>
        </w:rPr>
        <w:t>“</w:t>
      </w:r>
      <w:r w:rsidR="00C87858" w:rsidRPr="001B4F6F">
        <w:rPr>
          <w:b/>
        </w:rPr>
        <w:t>Climate Sync Miami</w:t>
      </w:r>
      <w:r w:rsidR="00115668" w:rsidRPr="001B4F6F">
        <w:rPr>
          <w:b/>
        </w:rPr>
        <w:t>”</w:t>
      </w:r>
    </w:p>
    <w:p w14:paraId="49801B13" w14:textId="258AC8CF" w:rsidR="00A6745B" w:rsidRPr="001B4F6F" w:rsidRDefault="00024109" w:rsidP="001B4F6F">
      <w:pPr>
        <w:autoSpaceDE w:val="0"/>
        <w:autoSpaceDN w:val="0"/>
        <w:adjustRightInd w:val="0"/>
        <w:spacing w:after="0" w:line="240" w:lineRule="auto"/>
        <w:ind w:left="360"/>
        <w:rPr>
          <w:rFonts w:cs="Verdana"/>
        </w:rPr>
      </w:pPr>
      <w:r>
        <w:rPr>
          <w:rFonts w:cs="Verdana"/>
        </w:rPr>
        <w:t>Miami-</w:t>
      </w:r>
      <w:r w:rsidR="00A6745B" w:rsidRPr="001B4F6F">
        <w:rPr>
          <w:rFonts w:cs="Verdana"/>
        </w:rPr>
        <w:t>Dade</w:t>
      </w:r>
      <w:r w:rsidR="0099233D">
        <w:rPr>
          <w:rFonts w:cs="Verdana"/>
        </w:rPr>
        <w:t xml:space="preserve"> County’s</w:t>
      </w:r>
      <w:r w:rsidR="00AF270C">
        <w:rPr>
          <w:rFonts w:cs="Verdana"/>
        </w:rPr>
        <w:t xml:space="preserve"> proposal </w:t>
      </w:r>
      <w:r w:rsidR="00A6745B" w:rsidRPr="001B4F6F">
        <w:rPr>
          <w:rFonts w:cs="Verdana"/>
        </w:rPr>
        <w:t>explores the urgent issue of rising seas and its impact on Miami</w:t>
      </w:r>
      <w:r w:rsidR="00667469">
        <w:rPr>
          <w:rFonts w:cs="Verdana"/>
        </w:rPr>
        <w:t xml:space="preserve"> t</w:t>
      </w:r>
      <w:r w:rsidR="00A6745B" w:rsidRPr="001B4F6F">
        <w:rPr>
          <w:rFonts w:cs="Verdana"/>
        </w:rPr>
        <w:t>hrough a series of site-specific tem</w:t>
      </w:r>
      <w:r w:rsidR="00667469">
        <w:rPr>
          <w:rFonts w:cs="Verdana"/>
        </w:rPr>
        <w:t>porary public art interventions</w:t>
      </w:r>
      <w:r w:rsidR="00A6745B" w:rsidRPr="001B4F6F">
        <w:rPr>
          <w:rFonts w:cs="Verdana"/>
        </w:rPr>
        <w:t>. The Miami-Dade County Department of Cultural Affairs, through its Art in Public Places Program, will commission 8-12 art works</w:t>
      </w:r>
      <w:r w:rsidR="00313801">
        <w:rPr>
          <w:rFonts w:cs="Verdana"/>
        </w:rPr>
        <w:t>. The pieces</w:t>
      </w:r>
      <w:r w:rsidR="008528A4">
        <w:rPr>
          <w:rFonts w:cs="Verdana"/>
        </w:rPr>
        <w:t>,</w:t>
      </w:r>
      <w:r w:rsidR="00A6745B" w:rsidRPr="001B4F6F">
        <w:rPr>
          <w:rFonts w:cs="Verdana"/>
        </w:rPr>
        <w:t xml:space="preserve"> by internationally renowned artists and outstanding Miami-based artists</w:t>
      </w:r>
      <w:r w:rsidR="008528A4">
        <w:rPr>
          <w:rFonts w:cs="Verdana"/>
        </w:rPr>
        <w:t>,</w:t>
      </w:r>
      <w:r w:rsidR="00A6745B" w:rsidRPr="001B4F6F">
        <w:rPr>
          <w:rFonts w:cs="Verdana"/>
        </w:rPr>
        <w:t xml:space="preserve"> </w:t>
      </w:r>
      <w:r w:rsidR="00313801">
        <w:rPr>
          <w:rFonts w:cs="Verdana"/>
        </w:rPr>
        <w:t xml:space="preserve">will be </w:t>
      </w:r>
      <w:r w:rsidR="00313801">
        <w:rPr>
          <w:rFonts w:cs="Verdana"/>
        </w:rPr>
        <w:lastRenderedPageBreak/>
        <w:t>placed in</w:t>
      </w:r>
      <w:r w:rsidR="00A6745B" w:rsidRPr="001B4F6F">
        <w:rPr>
          <w:rFonts w:cs="Verdana"/>
        </w:rPr>
        <w:t xml:space="preserve"> 10 neighborhoods throughout Miami and Miami Beach at parks, libraries</w:t>
      </w:r>
      <w:r w:rsidR="008D70C3">
        <w:rPr>
          <w:rFonts w:cs="Verdana"/>
        </w:rPr>
        <w:t>,</w:t>
      </w:r>
      <w:r w:rsidR="00A6745B" w:rsidRPr="001B4F6F">
        <w:rPr>
          <w:rFonts w:cs="Verdana"/>
        </w:rPr>
        <w:t xml:space="preserve"> and transportation locations. </w:t>
      </w:r>
    </w:p>
    <w:p w14:paraId="529B94C6" w14:textId="77777777" w:rsidR="00A6745B" w:rsidRPr="003919FC" w:rsidRDefault="00A6745B" w:rsidP="001B4F6F">
      <w:pPr>
        <w:spacing w:after="0" w:line="240" w:lineRule="auto"/>
      </w:pPr>
    </w:p>
    <w:p w14:paraId="35A746D9" w14:textId="072FC42C" w:rsidR="00115668" w:rsidRPr="001B4F6F" w:rsidRDefault="00115668" w:rsidP="001B4F6F">
      <w:pPr>
        <w:spacing w:after="0" w:line="240" w:lineRule="auto"/>
        <w:ind w:left="360"/>
        <w:rPr>
          <w:b/>
        </w:rPr>
      </w:pPr>
      <w:r w:rsidRPr="001B4F6F">
        <w:rPr>
          <w:b/>
        </w:rPr>
        <w:t>Santa Rosa, CA –</w:t>
      </w:r>
      <w:r w:rsidR="005117AE">
        <w:rPr>
          <w:b/>
        </w:rPr>
        <w:t xml:space="preserve"> </w:t>
      </w:r>
      <w:r w:rsidR="00936539" w:rsidRPr="001B4F6F">
        <w:rPr>
          <w:b/>
        </w:rPr>
        <w:t>Exploring Resilienc</w:t>
      </w:r>
      <w:r w:rsidR="00526017">
        <w:rPr>
          <w:b/>
        </w:rPr>
        <w:t>y and Natural Disaster Recovery</w:t>
      </w:r>
      <w:r w:rsidR="001B4F6F" w:rsidRPr="001B4F6F">
        <w:rPr>
          <w:b/>
        </w:rPr>
        <w:t xml:space="preserve">: </w:t>
      </w:r>
      <w:r w:rsidRPr="001B4F6F">
        <w:rPr>
          <w:b/>
        </w:rPr>
        <w:t>“Home”</w:t>
      </w:r>
    </w:p>
    <w:p w14:paraId="6D55C148" w14:textId="5957C291" w:rsidR="00905948" w:rsidRPr="001B4F6F" w:rsidRDefault="00936539" w:rsidP="001B4F6F">
      <w:pPr>
        <w:autoSpaceDE w:val="0"/>
        <w:autoSpaceDN w:val="0"/>
        <w:adjustRightInd w:val="0"/>
        <w:spacing w:after="0" w:line="240" w:lineRule="auto"/>
        <w:ind w:left="360"/>
        <w:rPr>
          <w:rFonts w:cs="Verdana"/>
        </w:rPr>
      </w:pPr>
      <w:r w:rsidRPr="003919FC">
        <w:t>The City of Santa Rosa proposes a</w:t>
      </w:r>
      <w:r w:rsidR="00C954C3">
        <w:t>n artist</w:t>
      </w:r>
      <w:r w:rsidRPr="003919FC">
        <w:t xml:space="preserve"> residency program </w:t>
      </w:r>
      <w:r w:rsidR="00C954C3">
        <w:t xml:space="preserve">to </w:t>
      </w:r>
      <w:r w:rsidR="000F754E" w:rsidRPr="003919FC">
        <w:t>explor</w:t>
      </w:r>
      <w:r w:rsidR="00C954C3">
        <w:t>e</w:t>
      </w:r>
      <w:r w:rsidRPr="003919FC">
        <w:t xml:space="preserve"> concept</w:t>
      </w:r>
      <w:r w:rsidR="00C954C3">
        <w:t>s</w:t>
      </w:r>
      <w:r w:rsidRPr="003919FC">
        <w:t xml:space="preserve"> of home and resiliency in the aftermath of </w:t>
      </w:r>
      <w:r w:rsidR="00BC3195">
        <w:t>the recent and</w:t>
      </w:r>
      <w:r w:rsidRPr="003919FC">
        <w:t xml:space="preserve"> unprecedented wildfire disaster.</w:t>
      </w:r>
      <w:r w:rsidR="00E63072">
        <w:t xml:space="preserve"> </w:t>
      </w:r>
      <w:r w:rsidR="00C954C3">
        <w:rPr>
          <w:rFonts w:cs="Verdana"/>
        </w:rPr>
        <w:t>Artists will be “residents” in active city agencies and have access to historical archives, community programs</w:t>
      </w:r>
      <w:r w:rsidR="008D70C3">
        <w:rPr>
          <w:rFonts w:cs="Verdana"/>
        </w:rPr>
        <w:t>,</w:t>
      </w:r>
      <w:r w:rsidR="00C954C3">
        <w:rPr>
          <w:rFonts w:cs="Verdana"/>
        </w:rPr>
        <w:t xml:space="preserve"> and gallery space through a partnership with the Museums of Sonoma County. </w:t>
      </w:r>
      <w:r w:rsidR="00AC5800">
        <w:rPr>
          <w:rFonts w:cs="Verdana"/>
        </w:rPr>
        <w:t xml:space="preserve">The residency will conclude with a public art exhibition </w:t>
      </w:r>
      <w:r w:rsidR="00667469">
        <w:rPr>
          <w:rFonts w:cs="Verdana"/>
        </w:rPr>
        <w:t xml:space="preserve">and installations. </w:t>
      </w:r>
    </w:p>
    <w:p w14:paraId="0DE4C7D1" w14:textId="77777777" w:rsidR="00936539" w:rsidRPr="003919FC" w:rsidRDefault="00936539" w:rsidP="001B4F6F">
      <w:pPr>
        <w:pStyle w:val="ListParagraph"/>
        <w:spacing w:after="0" w:line="240" w:lineRule="auto"/>
        <w:ind w:left="1440"/>
        <w:rPr>
          <w:b/>
        </w:rPr>
      </w:pPr>
    </w:p>
    <w:p w14:paraId="1CD25CB1" w14:textId="77777777" w:rsidR="00905948" w:rsidRPr="001B4F6F" w:rsidRDefault="00C87858" w:rsidP="001B4F6F">
      <w:pPr>
        <w:spacing w:after="0" w:line="240" w:lineRule="auto"/>
        <w:ind w:left="360"/>
        <w:rPr>
          <w:b/>
        </w:rPr>
      </w:pPr>
      <w:r w:rsidRPr="001B4F6F">
        <w:rPr>
          <w:b/>
        </w:rPr>
        <w:t xml:space="preserve">Seattle, WA – </w:t>
      </w:r>
      <w:r w:rsidR="00115668" w:rsidRPr="001B4F6F">
        <w:rPr>
          <w:b/>
        </w:rPr>
        <w:t>Illuminating Gentrification and Celebrating Identity</w:t>
      </w:r>
      <w:r w:rsidR="001B4F6F" w:rsidRPr="001B4F6F">
        <w:rPr>
          <w:b/>
        </w:rPr>
        <w:t xml:space="preserve">: </w:t>
      </w:r>
      <w:r w:rsidR="00115668" w:rsidRPr="001B4F6F">
        <w:rPr>
          <w:b/>
        </w:rPr>
        <w:t>“</w:t>
      </w:r>
      <w:r w:rsidRPr="001B4F6F">
        <w:rPr>
          <w:b/>
        </w:rPr>
        <w:t>Growing Home</w:t>
      </w:r>
      <w:r w:rsidR="00115668" w:rsidRPr="001B4F6F">
        <w:rPr>
          <w:b/>
        </w:rPr>
        <w:t>”</w:t>
      </w:r>
    </w:p>
    <w:p w14:paraId="4D3ABBE1" w14:textId="57AC8A89" w:rsidR="00936539" w:rsidRPr="003919FC" w:rsidRDefault="00936539" w:rsidP="001B4F6F">
      <w:pPr>
        <w:spacing w:after="0" w:line="240" w:lineRule="auto"/>
        <w:ind w:left="360"/>
      </w:pPr>
      <w:r w:rsidRPr="003919FC">
        <w:t>The City of Seattle proposes a series of public art installations that celebrate</w:t>
      </w:r>
      <w:r w:rsidR="00D33ABE">
        <w:t xml:space="preserve"> the</w:t>
      </w:r>
      <w:r w:rsidRPr="003919FC">
        <w:t xml:space="preserve"> cultural identities </w:t>
      </w:r>
      <w:r w:rsidR="000F754E" w:rsidRPr="003919FC">
        <w:t>of the city’s</w:t>
      </w:r>
      <w:r w:rsidRPr="003919FC">
        <w:t xml:space="preserve"> </w:t>
      </w:r>
      <w:proofErr w:type="spellStart"/>
      <w:r w:rsidRPr="003919FC">
        <w:t>Africatown</w:t>
      </w:r>
      <w:proofErr w:type="spellEnd"/>
      <w:r w:rsidRPr="003919FC">
        <w:t xml:space="preserve"> to spark conversation about gentrification. </w:t>
      </w:r>
      <w:r w:rsidR="00C451DF" w:rsidRPr="00C451DF">
        <w:t xml:space="preserve">Each structure would </w:t>
      </w:r>
      <w:r w:rsidR="00170CB6">
        <w:t>represent familiar places that together</w:t>
      </w:r>
      <w:r w:rsidR="00C451DF" w:rsidRPr="00C451DF">
        <w:t xml:space="preserve"> </w:t>
      </w:r>
      <w:r w:rsidR="00170CB6">
        <w:t xml:space="preserve">create a </w:t>
      </w:r>
      <w:r w:rsidR="00C451DF" w:rsidRPr="00C451DF">
        <w:t xml:space="preserve">community – a barbershop, a library, a church, a </w:t>
      </w:r>
      <w:r w:rsidR="008D70C3">
        <w:t>café,</w:t>
      </w:r>
      <w:r w:rsidR="00C451DF" w:rsidRPr="00C451DF">
        <w:t xml:space="preserve"> and </w:t>
      </w:r>
      <w:r w:rsidR="00F164A9">
        <w:t xml:space="preserve">a </w:t>
      </w:r>
      <w:r w:rsidR="00C451DF" w:rsidRPr="00C451DF">
        <w:t xml:space="preserve">restaurant. Each site will be formed in partnership with existing or displaced businesses and institutions. To amplify each physical installation, the Young Geniuses, </w:t>
      </w:r>
      <w:proofErr w:type="spellStart"/>
      <w:r w:rsidR="00C451DF" w:rsidRPr="00C451DF">
        <w:t>Africatown's</w:t>
      </w:r>
      <w:proofErr w:type="spellEnd"/>
      <w:r w:rsidR="00C451DF" w:rsidRPr="00C451DF">
        <w:t xml:space="preserve"> youth tech group, will develop a digital platform to crowdsource ideas about the future develop</w:t>
      </w:r>
      <w:r w:rsidR="00C217E2">
        <w:t>ment on each site.</w:t>
      </w:r>
    </w:p>
    <w:p w14:paraId="61468ED0" w14:textId="77777777" w:rsidR="00936539" w:rsidRPr="003919FC" w:rsidRDefault="00936539" w:rsidP="001B4F6F">
      <w:pPr>
        <w:pStyle w:val="ListParagraph"/>
        <w:spacing w:after="0" w:line="240" w:lineRule="auto"/>
        <w:ind w:left="1440"/>
        <w:rPr>
          <w:highlight w:val="yellow"/>
        </w:rPr>
      </w:pPr>
    </w:p>
    <w:p w14:paraId="6AE1A6DD" w14:textId="77777777" w:rsidR="00115668" w:rsidRPr="001B4F6F" w:rsidRDefault="00C87858" w:rsidP="001B4F6F">
      <w:pPr>
        <w:spacing w:after="0" w:line="240" w:lineRule="auto"/>
        <w:ind w:left="360"/>
        <w:rPr>
          <w:b/>
        </w:rPr>
      </w:pPr>
      <w:r w:rsidRPr="001B4F6F">
        <w:rPr>
          <w:b/>
        </w:rPr>
        <w:t xml:space="preserve">St. Louis, </w:t>
      </w:r>
      <w:r w:rsidR="00115668" w:rsidRPr="001B4F6F">
        <w:rPr>
          <w:b/>
        </w:rPr>
        <w:t>MO – Exploring the Legacy of Displacement</w:t>
      </w:r>
      <w:r w:rsidR="001B4F6F" w:rsidRPr="001B4F6F">
        <w:rPr>
          <w:b/>
        </w:rPr>
        <w:t xml:space="preserve">: </w:t>
      </w:r>
      <w:r w:rsidR="00115668" w:rsidRPr="001B4F6F">
        <w:rPr>
          <w:b/>
        </w:rPr>
        <w:t>“Facing Mill Creek Valley”</w:t>
      </w:r>
    </w:p>
    <w:p w14:paraId="6DCB5C4D" w14:textId="6D511E6D" w:rsidR="005D353A" w:rsidRPr="003919FC" w:rsidRDefault="005D353A" w:rsidP="00B646A1">
      <w:pPr>
        <w:spacing w:after="0" w:line="240" w:lineRule="auto"/>
        <w:ind w:left="360"/>
      </w:pPr>
      <w:r w:rsidRPr="003919FC">
        <w:t>The City of St. Louis proposes a public art exhibition</w:t>
      </w:r>
      <w:r w:rsidR="00453001">
        <w:t xml:space="preserve"> </w:t>
      </w:r>
      <w:r w:rsidR="00AC5800">
        <w:t>to address displacement</w:t>
      </w:r>
      <w:r w:rsidR="00B646A1">
        <w:t xml:space="preserve">. The project will explore the legacy of Mill Creek Valley, a predominantly African-American neighborhood established in the late 19th Century and razed in the 1950s and 60s to make way for the construction of a freeway. </w:t>
      </w:r>
      <w:r w:rsidR="00B646A1" w:rsidRPr="00165E03">
        <w:t xml:space="preserve">Artists will </w:t>
      </w:r>
      <w:r w:rsidR="00B646A1">
        <w:t xml:space="preserve">engage with local historians, community leaders, and historical materials to </w:t>
      </w:r>
      <w:r w:rsidR="00B646A1" w:rsidRPr="00165E03">
        <w:t xml:space="preserve">create </w:t>
      </w:r>
      <w:r w:rsidR="00B646A1">
        <w:t>artworks along a newly developed pedestrian corridor under the freeway.</w:t>
      </w:r>
    </w:p>
    <w:p w14:paraId="2DA0E518" w14:textId="77777777" w:rsidR="005D353A" w:rsidRPr="003919FC" w:rsidRDefault="005D353A" w:rsidP="001B4F6F">
      <w:pPr>
        <w:pStyle w:val="ListParagraph"/>
        <w:spacing w:after="0" w:line="240" w:lineRule="auto"/>
        <w:ind w:left="1440"/>
        <w:rPr>
          <w:highlight w:val="yellow"/>
        </w:rPr>
      </w:pPr>
    </w:p>
    <w:p w14:paraId="10818B95" w14:textId="508414D7" w:rsidR="00115668" w:rsidRDefault="00115668" w:rsidP="001B4F6F">
      <w:pPr>
        <w:spacing w:after="0" w:line="240" w:lineRule="auto"/>
        <w:ind w:left="360"/>
        <w:rPr>
          <w:b/>
        </w:rPr>
      </w:pPr>
      <w:r w:rsidRPr="001B4F6F">
        <w:rPr>
          <w:b/>
        </w:rPr>
        <w:t xml:space="preserve">Tulsa, OK – </w:t>
      </w:r>
      <w:r w:rsidR="005D353A" w:rsidRPr="001B4F6F">
        <w:rPr>
          <w:b/>
        </w:rPr>
        <w:t>Reclai</w:t>
      </w:r>
      <w:r w:rsidR="001B4F6F" w:rsidRPr="001B4F6F">
        <w:rPr>
          <w:b/>
        </w:rPr>
        <w:t>ming History through Public Art</w:t>
      </w:r>
      <w:r w:rsidR="001B4F6F" w:rsidRPr="001B4F6F">
        <w:rPr>
          <w:b/>
          <w:i/>
        </w:rPr>
        <w:t xml:space="preserve">: </w:t>
      </w:r>
      <w:r w:rsidRPr="001B4F6F">
        <w:rPr>
          <w:b/>
        </w:rPr>
        <w:t>“Greenwood Art Project”</w:t>
      </w:r>
    </w:p>
    <w:p w14:paraId="76206574" w14:textId="2285F4B7" w:rsidR="00133E2A" w:rsidRPr="00133E2A" w:rsidRDefault="00133E2A" w:rsidP="00133E2A">
      <w:pPr>
        <w:spacing w:after="0" w:line="240" w:lineRule="auto"/>
        <w:ind w:left="360"/>
      </w:pPr>
      <w:r w:rsidRPr="00133E2A">
        <w:t xml:space="preserve">The City of Tulsa proposes a public art project that celebrates a vibrant community in the Historic Greenwood District known as Black Wall Street. Comprised of black-owned businesses that emerged in the early 20th century, in 1921, Black Wall Street was subject to both racially motivated attacks and destructive urban renewal projects in the 1950s. </w:t>
      </w:r>
      <w:r>
        <w:t>A team of artists will develop</w:t>
      </w:r>
      <w:r w:rsidRPr="00133E2A">
        <w:t xml:space="preserve"> artwork that deepens the collective understanding of the Greenwood story.</w:t>
      </w:r>
    </w:p>
    <w:p w14:paraId="7C0B2E23" w14:textId="7B672BE3" w:rsidR="00BA3587" w:rsidRDefault="00BA3587" w:rsidP="008C786C">
      <w:pPr>
        <w:pStyle w:val="PlainText"/>
        <w:rPr>
          <w:rFonts w:asciiTheme="minorHAnsi" w:hAnsiTheme="minorHAnsi"/>
          <w:szCs w:val="22"/>
        </w:rPr>
      </w:pPr>
    </w:p>
    <w:p w14:paraId="53F5E482" w14:textId="1C7C798C" w:rsidR="008C786C" w:rsidRPr="003919FC" w:rsidRDefault="00BB46B5" w:rsidP="008C786C">
      <w:pPr>
        <w:pStyle w:val="PlainText"/>
        <w:rPr>
          <w:rFonts w:asciiTheme="minorHAnsi" w:hAnsiTheme="minorHAnsi"/>
          <w:szCs w:val="22"/>
        </w:rPr>
      </w:pPr>
      <w:r w:rsidRPr="003919FC">
        <w:rPr>
          <w:rFonts w:asciiTheme="minorHAnsi" w:hAnsiTheme="minorHAnsi"/>
          <w:szCs w:val="22"/>
        </w:rPr>
        <w:t>“</w:t>
      </w:r>
      <w:r w:rsidR="00224BDF">
        <w:rPr>
          <w:rFonts w:asciiTheme="minorHAnsi" w:hAnsiTheme="minorHAnsi"/>
          <w:szCs w:val="22"/>
        </w:rPr>
        <w:t>T</w:t>
      </w:r>
      <w:r w:rsidR="006E7367">
        <w:rPr>
          <w:rFonts w:asciiTheme="minorHAnsi" w:hAnsiTheme="minorHAnsi"/>
          <w:szCs w:val="22"/>
        </w:rPr>
        <w:t xml:space="preserve">his year’s applications </w:t>
      </w:r>
      <w:r w:rsidRPr="003919FC">
        <w:rPr>
          <w:rFonts w:asciiTheme="minorHAnsi" w:hAnsiTheme="minorHAnsi"/>
          <w:szCs w:val="22"/>
        </w:rPr>
        <w:t>reflect a diversity of creativity and exciting experimentation for the public to experience,</w:t>
      </w:r>
      <w:r w:rsidR="00224BDF">
        <w:rPr>
          <w:rFonts w:asciiTheme="minorHAnsi" w:hAnsiTheme="minorHAnsi"/>
          <w:szCs w:val="22"/>
        </w:rPr>
        <w:t xml:space="preserve"> and the willingness of civic leaders to embrace artists in addressing complex urban challenges.</w:t>
      </w:r>
      <w:r w:rsidRPr="003919FC">
        <w:rPr>
          <w:rFonts w:asciiTheme="minorHAnsi" w:hAnsiTheme="minorHAnsi"/>
          <w:szCs w:val="22"/>
        </w:rPr>
        <w:t xml:space="preserve">” </w:t>
      </w:r>
      <w:r w:rsidR="008C786C" w:rsidRPr="003919FC">
        <w:rPr>
          <w:rFonts w:asciiTheme="minorHAnsi" w:hAnsiTheme="minorHAnsi"/>
          <w:szCs w:val="22"/>
        </w:rPr>
        <w:t xml:space="preserve">said Kate </w:t>
      </w:r>
      <w:r w:rsidR="00116EA0" w:rsidRPr="003919FC">
        <w:rPr>
          <w:rFonts w:asciiTheme="minorHAnsi" w:hAnsiTheme="minorHAnsi"/>
          <w:szCs w:val="22"/>
        </w:rPr>
        <w:t xml:space="preserve">D. </w:t>
      </w:r>
      <w:r w:rsidR="008C786C" w:rsidRPr="003919FC">
        <w:rPr>
          <w:rFonts w:asciiTheme="minorHAnsi" w:hAnsiTheme="minorHAnsi"/>
          <w:szCs w:val="22"/>
        </w:rPr>
        <w:t xml:space="preserve">Levin, head of Bloomberg Philanthropies arts team. “We are grateful to </w:t>
      </w:r>
      <w:r w:rsidR="009E5882" w:rsidRPr="003919FC">
        <w:rPr>
          <w:rFonts w:asciiTheme="minorHAnsi" w:hAnsiTheme="minorHAnsi"/>
          <w:szCs w:val="22"/>
        </w:rPr>
        <w:t xml:space="preserve">the </w:t>
      </w:r>
      <w:r w:rsidR="008C786C" w:rsidRPr="003919FC">
        <w:rPr>
          <w:rFonts w:asciiTheme="minorHAnsi" w:hAnsiTheme="minorHAnsi"/>
          <w:szCs w:val="22"/>
        </w:rPr>
        <w:t>cities that applied</w:t>
      </w:r>
      <w:r w:rsidR="00736ED1" w:rsidRPr="003919FC">
        <w:rPr>
          <w:rFonts w:asciiTheme="minorHAnsi" w:hAnsiTheme="minorHAnsi"/>
          <w:szCs w:val="22"/>
        </w:rPr>
        <w:t xml:space="preserve"> to this year’s</w:t>
      </w:r>
      <w:r w:rsidR="009401AB">
        <w:rPr>
          <w:rFonts w:asciiTheme="minorHAnsi" w:hAnsiTheme="minorHAnsi"/>
          <w:szCs w:val="22"/>
        </w:rPr>
        <w:t xml:space="preserve"> Public Art Challenge</w:t>
      </w:r>
      <w:r w:rsidR="00224BDF">
        <w:rPr>
          <w:rFonts w:asciiTheme="minorHAnsi" w:hAnsiTheme="minorHAnsi"/>
          <w:szCs w:val="22"/>
        </w:rPr>
        <w:t>, and look forward to learning more about our finalist projects</w:t>
      </w:r>
      <w:r w:rsidR="009401AB">
        <w:rPr>
          <w:rFonts w:asciiTheme="minorHAnsi" w:hAnsiTheme="minorHAnsi"/>
          <w:szCs w:val="22"/>
        </w:rPr>
        <w:t>.</w:t>
      </w:r>
      <w:r w:rsidR="00FA1AC5">
        <w:rPr>
          <w:rFonts w:asciiTheme="minorHAnsi" w:hAnsiTheme="minorHAnsi"/>
          <w:szCs w:val="22"/>
        </w:rPr>
        <w:t xml:space="preserve">” </w:t>
      </w:r>
      <w:r w:rsidR="009401AB">
        <w:rPr>
          <w:rFonts w:asciiTheme="minorHAnsi" w:hAnsiTheme="minorHAnsi"/>
          <w:szCs w:val="22"/>
        </w:rPr>
        <w:t xml:space="preserve"> </w:t>
      </w:r>
    </w:p>
    <w:p w14:paraId="1B4C295E" w14:textId="77777777" w:rsidR="009801D5" w:rsidRPr="003919FC" w:rsidRDefault="009801D5" w:rsidP="0056409D">
      <w:pPr>
        <w:spacing w:after="0" w:line="240" w:lineRule="auto"/>
        <w:rPr>
          <w:rFonts w:cs="Arial"/>
        </w:rPr>
      </w:pPr>
    </w:p>
    <w:p w14:paraId="53DBC254" w14:textId="5F3CE7B1" w:rsidR="000347D9" w:rsidRPr="003919FC" w:rsidRDefault="00ED5CEB" w:rsidP="0056409D">
      <w:pPr>
        <w:spacing w:after="0" w:line="240" w:lineRule="auto"/>
        <w:rPr>
          <w:rFonts w:cs="Arial"/>
        </w:rPr>
      </w:pPr>
      <w:r w:rsidRPr="003919FC">
        <w:rPr>
          <w:rFonts w:cs="Arial"/>
        </w:rPr>
        <w:t>Bloomberg Philanthropies will select at least three winners from among these 14 finalists</w:t>
      </w:r>
      <w:r w:rsidR="00F4133E" w:rsidRPr="003919FC">
        <w:rPr>
          <w:rFonts w:cs="Arial"/>
        </w:rPr>
        <w:t xml:space="preserve"> in the fall</w:t>
      </w:r>
      <w:r w:rsidRPr="003919FC">
        <w:rPr>
          <w:rFonts w:cs="Arial"/>
        </w:rPr>
        <w:t xml:space="preserve"> to execute their projects over a maximum of 24 months. The grant is intended to provide catalytic funds as part of a strong, committed consortium of supporters. As such, the Bloomberg Philanthropies grants will cover project-related expenditures including development, execution</w:t>
      </w:r>
      <w:r w:rsidR="00352237">
        <w:rPr>
          <w:rFonts w:cs="Arial"/>
        </w:rPr>
        <w:t>,</w:t>
      </w:r>
      <w:r w:rsidRPr="003919FC">
        <w:rPr>
          <w:rFonts w:cs="Arial"/>
        </w:rPr>
        <w:t xml:space="preserve"> and marketing, but will not fund 100 percent of </w:t>
      </w:r>
      <w:r w:rsidR="005C6FC1" w:rsidRPr="003919FC">
        <w:rPr>
          <w:rFonts w:cs="Arial"/>
        </w:rPr>
        <w:t xml:space="preserve">the total </w:t>
      </w:r>
      <w:r w:rsidRPr="003919FC">
        <w:rPr>
          <w:rFonts w:cs="Arial"/>
        </w:rPr>
        <w:t>project costs.</w:t>
      </w:r>
    </w:p>
    <w:p w14:paraId="30BAFFC9" w14:textId="77777777" w:rsidR="00B2763F" w:rsidRPr="003919FC" w:rsidRDefault="00B2763F" w:rsidP="0056409D">
      <w:pPr>
        <w:spacing w:after="0" w:line="240" w:lineRule="auto"/>
        <w:rPr>
          <w:rFonts w:cs="Arial"/>
        </w:rPr>
      </w:pPr>
    </w:p>
    <w:p w14:paraId="10F391BF" w14:textId="77777777" w:rsidR="00B2763F" w:rsidRPr="003919FC" w:rsidRDefault="00B2763F" w:rsidP="0056409D">
      <w:pPr>
        <w:spacing w:after="0" w:line="240" w:lineRule="auto"/>
      </w:pPr>
      <w:bookmarkStart w:id="0" w:name="_Hlk516239889"/>
      <w:r w:rsidRPr="003919FC">
        <w:rPr>
          <w:rFonts w:cs="Arial"/>
        </w:rPr>
        <w:t xml:space="preserve">The Public Art Challenge is a part of </w:t>
      </w:r>
      <w:r w:rsidR="00B46F82" w:rsidRPr="003919FC">
        <w:rPr>
          <w:rFonts w:cs="Arial"/>
        </w:rPr>
        <w:t xml:space="preserve">Mike Bloomberg’s </w:t>
      </w:r>
      <w:r w:rsidRPr="003919FC">
        <w:rPr>
          <w:rFonts w:cs="Arial"/>
        </w:rPr>
        <w:t>American Cities Initiative, an effort to help U.S. cities generate innovation and advance policy.</w:t>
      </w:r>
      <w:r w:rsidRPr="003919FC">
        <w:t xml:space="preserve"> The Public Art Challenge allows mayors and artists to join </w:t>
      </w:r>
      <w:r w:rsidRPr="003919FC">
        <w:lastRenderedPageBreak/>
        <w:t>forces to elevate the value of including the creative sector when developing solutions to significant urban issues.</w:t>
      </w:r>
      <w:bookmarkEnd w:id="0"/>
      <w:r w:rsidRPr="003919FC">
        <w:t xml:space="preserve"> </w:t>
      </w:r>
      <w:r w:rsidRPr="003919FC">
        <w:rPr>
          <w:rFonts w:cs="Arial"/>
        </w:rPr>
        <w:t xml:space="preserve"> </w:t>
      </w:r>
    </w:p>
    <w:p w14:paraId="6B2B0A0D" w14:textId="5EBEB5AE" w:rsidR="003F10B5" w:rsidRPr="003919FC" w:rsidRDefault="000347D9" w:rsidP="000347D9">
      <w:pPr>
        <w:pStyle w:val="NormalWeb"/>
        <w:spacing w:before="240" w:beforeAutospacing="0" w:after="360" w:afterAutospacing="0"/>
        <w:rPr>
          <w:rFonts w:asciiTheme="minorHAnsi" w:hAnsiTheme="minorHAnsi"/>
          <w:sz w:val="22"/>
          <w:szCs w:val="22"/>
        </w:rPr>
      </w:pPr>
      <w:bookmarkStart w:id="1" w:name="_Hlk516673436"/>
      <w:r w:rsidRPr="003919FC">
        <w:rPr>
          <w:rFonts w:asciiTheme="minorHAnsi" w:hAnsiTheme="minorHAnsi"/>
          <w:sz w:val="22"/>
          <w:szCs w:val="22"/>
        </w:rPr>
        <w:t>Bloomberg Philanthropies has a proven track record of supporting creative and innovative public art.</w:t>
      </w:r>
      <w:r w:rsidR="00326FB9" w:rsidRPr="003919FC">
        <w:rPr>
          <w:rFonts w:asciiTheme="minorHAnsi" w:hAnsiTheme="minorHAnsi"/>
          <w:sz w:val="22"/>
          <w:szCs w:val="22"/>
        </w:rPr>
        <w:t xml:space="preserve"> </w:t>
      </w:r>
      <w:r w:rsidR="00224BDF">
        <w:rPr>
          <w:rFonts w:asciiTheme="minorHAnsi" w:hAnsiTheme="minorHAnsi"/>
          <w:sz w:val="22"/>
          <w:szCs w:val="22"/>
        </w:rPr>
        <w:t>Over</w:t>
      </w:r>
      <w:r w:rsidR="00224BDF" w:rsidRPr="003919FC">
        <w:rPr>
          <w:rFonts w:asciiTheme="minorHAnsi" w:hAnsiTheme="minorHAnsi"/>
          <w:sz w:val="22"/>
          <w:szCs w:val="22"/>
        </w:rPr>
        <w:t xml:space="preserve"> </w:t>
      </w:r>
      <w:r w:rsidR="00326FB9" w:rsidRPr="003919FC">
        <w:rPr>
          <w:rFonts w:asciiTheme="minorHAnsi" w:hAnsiTheme="minorHAnsi"/>
          <w:sz w:val="22"/>
          <w:szCs w:val="22"/>
        </w:rPr>
        <w:t>400 cities have submitted proposals for consideration in the Public Art Challenge since 2014.</w:t>
      </w:r>
      <w:r w:rsidRPr="003919FC">
        <w:rPr>
          <w:rFonts w:asciiTheme="minorHAnsi" w:hAnsiTheme="minorHAnsi"/>
          <w:sz w:val="22"/>
          <w:szCs w:val="22"/>
        </w:rPr>
        <w:t xml:space="preserve"> </w:t>
      </w:r>
      <w:r w:rsidR="001A6E81">
        <w:rPr>
          <w:rFonts w:asciiTheme="minorHAnsi" w:hAnsiTheme="minorHAnsi"/>
          <w:sz w:val="22"/>
          <w:szCs w:val="22"/>
        </w:rPr>
        <w:t xml:space="preserve">The </w:t>
      </w:r>
      <w:r w:rsidRPr="003919FC">
        <w:rPr>
          <w:rFonts w:asciiTheme="minorHAnsi" w:hAnsiTheme="minorHAnsi"/>
          <w:sz w:val="22"/>
          <w:szCs w:val="22"/>
        </w:rPr>
        <w:t>foundation’</w:t>
      </w:r>
      <w:r w:rsidR="00326FB9" w:rsidRPr="003919FC">
        <w:rPr>
          <w:rFonts w:asciiTheme="minorHAnsi" w:hAnsiTheme="minorHAnsi"/>
          <w:sz w:val="22"/>
          <w:szCs w:val="22"/>
        </w:rPr>
        <w:t xml:space="preserve">s inaugural Public Art Challenge catalyzed $13 million for local economies across the four winning regions and </w:t>
      </w:r>
      <w:r w:rsidR="009E1FB4" w:rsidRPr="003919FC">
        <w:rPr>
          <w:rFonts w:asciiTheme="minorHAnsi" w:hAnsiTheme="minorHAnsi"/>
          <w:sz w:val="22"/>
          <w:szCs w:val="22"/>
        </w:rPr>
        <w:t>illuminated</w:t>
      </w:r>
      <w:r w:rsidR="00326FB9" w:rsidRPr="003919FC">
        <w:rPr>
          <w:rFonts w:asciiTheme="minorHAnsi" w:hAnsiTheme="minorHAnsi"/>
          <w:sz w:val="22"/>
          <w:szCs w:val="22"/>
        </w:rPr>
        <w:t xml:space="preserve"> civic issues including economic decline, vacancy, water conservation and police-community relations.</w:t>
      </w:r>
    </w:p>
    <w:bookmarkEnd w:id="1"/>
    <w:p w14:paraId="6D2D815E" w14:textId="77777777" w:rsidR="0056409D" w:rsidRPr="003919FC" w:rsidRDefault="0056409D" w:rsidP="0056409D">
      <w:pPr>
        <w:spacing w:after="0" w:line="240" w:lineRule="auto"/>
      </w:pPr>
      <w:r w:rsidRPr="003919FC">
        <w:t>More information about the Public Art Challenge</w:t>
      </w:r>
      <w:r w:rsidR="000347D9" w:rsidRPr="003919FC">
        <w:t xml:space="preserve"> </w:t>
      </w:r>
      <w:r w:rsidRPr="003919FC">
        <w:t xml:space="preserve">can be found on </w:t>
      </w:r>
    </w:p>
    <w:p w14:paraId="05C8DBAD" w14:textId="77777777" w:rsidR="0056409D" w:rsidRPr="003919FC" w:rsidRDefault="00480211" w:rsidP="0056409D">
      <w:pPr>
        <w:spacing w:after="0" w:line="240" w:lineRule="auto"/>
        <w:rPr>
          <w:rFonts w:cs="Arial"/>
        </w:rPr>
      </w:pPr>
      <w:hyperlink r:id="rId8" w:history="1">
        <w:r w:rsidR="000347D9" w:rsidRPr="003919FC">
          <w:rPr>
            <w:rStyle w:val="Hyperlink"/>
            <w:rFonts w:cs="Arial"/>
          </w:rPr>
          <w:t>http://publicartchallenge.bloomberg.org</w:t>
        </w:r>
      </w:hyperlink>
      <w:r w:rsidR="000347D9" w:rsidRPr="003919FC">
        <w:rPr>
          <w:rFonts w:cs="Arial"/>
        </w:rPr>
        <w:t>.</w:t>
      </w:r>
    </w:p>
    <w:p w14:paraId="05A03E50" w14:textId="77777777" w:rsidR="000347D9" w:rsidRPr="003919FC" w:rsidRDefault="000347D9" w:rsidP="0056409D">
      <w:pPr>
        <w:spacing w:after="0" w:line="240" w:lineRule="auto"/>
      </w:pPr>
    </w:p>
    <w:p w14:paraId="6F833AF5" w14:textId="77777777" w:rsidR="008C786C" w:rsidRPr="003919FC" w:rsidRDefault="008C786C" w:rsidP="009E5882">
      <w:pPr>
        <w:spacing w:after="0" w:line="240" w:lineRule="auto"/>
        <w:jc w:val="center"/>
        <w:rPr>
          <w:i/>
        </w:rPr>
      </w:pPr>
      <w:r w:rsidRPr="003919FC">
        <w:rPr>
          <w:i/>
        </w:rPr>
        <w:t>###</w:t>
      </w:r>
    </w:p>
    <w:p w14:paraId="70FD6805" w14:textId="058DD33C" w:rsidR="001266D8" w:rsidRPr="003919FC" w:rsidRDefault="001266D8" w:rsidP="001266D8">
      <w:pPr>
        <w:spacing w:after="0" w:line="240" w:lineRule="auto"/>
        <w:rPr>
          <w:rFonts w:cs="Arial"/>
        </w:rPr>
      </w:pPr>
      <w:bookmarkStart w:id="2" w:name="_GoBack"/>
      <w:bookmarkEnd w:id="2"/>
    </w:p>
    <w:p w14:paraId="448C8672" w14:textId="77777777" w:rsidR="001266D8" w:rsidRPr="003919FC" w:rsidRDefault="001266D8" w:rsidP="001266D8">
      <w:pPr>
        <w:spacing w:after="0" w:line="240" w:lineRule="auto"/>
        <w:rPr>
          <w:rFonts w:cs="Arial"/>
          <w:b/>
          <w:bCs/>
        </w:rPr>
      </w:pPr>
      <w:r w:rsidRPr="003919FC">
        <w:rPr>
          <w:rFonts w:cs="Arial"/>
          <w:b/>
          <w:bCs/>
        </w:rPr>
        <w:t>About Bloomberg Philanthropies</w:t>
      </w:r>
    </w:p>
    <w:p w14:paraId="5E0E9C5A" w14:textId="77777777" w:rsidR="001266D8" w:rsidRPr="003919FC" w:rsidRDefault="001266D8" w:rsidP="009E5882">
      <w:pPr>
        <w:spacing w:line="240" w:lineRule="auto"/>
        <w:rPr>
          <w:rFonts w:cs="Arial"/>
        </w:rPr>
      </w:pPr>
      <w:r w:rsidRPr="003919FC">
        <w:t xml:space="preserve">Bloomberg Philanthropies works in </w:t>
      </w:r>
      <w:r w:rsidR="002454A8" w:rsidRPr="003919FC">
        <w:t>480 cities in more than</w:t>
      </w:r>
      <w:r w:rsidRPr="003919FC">
        <w:t xml:space="preserve"> 120 countries around the world to ensure better, longer lives for the greatest number of people. The organization focuses on five key areas for creating lasting change: Arts, Education, Environment, Government Innovation, and Public Health. Bloomberg Philanthropies encompasses all of Michael R. Bloomberg’s charitable activities, including his foundation and his personal giving. In 2017, Bloomberg Philanthropies distributed $702 million. For more information, please visit </w:t>
      </w:r>
      <w:hyperlink r:id="rId9" w:tgtFrame="_blank" w:history="1">
        <w:r w:rsidRPr="003919FC">
          <w:rPr>
            <w:rStyle w:val="Hyperlink"/>
            <w:color w:val="auto"/>
          </w:rPr>
          <w:t>www.bloomberg.org</w:t>
        </w:r>
      </w:hyperlink>
      <w:r w:rsidRPr="003919FC">
        <w:t> or follow us on </w:t>
      </w:r>
      <w:hyperlink r:id="rId10" w:tgtFrame="_blank" w:history="1">
        <w:r w:rsidRPr="003919FC">
          <w:rPr>
            <w:rStyle w:val="Hyperlink"/>
            <w:color w:val="auto"/>
          </w:rPr>
          <w:t>Facebook</w:t>
        </w:r>
      </w:hyperlink>
      <w:r w:rsidRPr="003919FC">
        <w:t>, </w:t>
      </w:r>
      <w:hyperlink r:id="rId11" w:tgtFrame="_blank" w:history="1">
        <w:r w:rsidRPr="003919FC">
          <w:rPr>
            <w:rStyle w:val="Hyperlink"/>
            <w:color w:val="auto"/>
          </w:rPr>
          <w:t>Instagram</w:t>
        </w:r>
      </w:hyperlink>
      <w:r w:rsidRPr="003919FC">
        <w:t>, </w:t>
      </w:r>
      <w:hyperlink r:id="rId12" w:tgtFrame="_blank" w:history="1">
        <w:r w:rsidRPr="003919FC">
          <w:rPr>
            <w:rStyle w:val="Hyperlink"/>
            <w:color w:val="auto"/>
          </w:rPr>
          <w:t>Snapchat</w:t>
        </w:r>
      </w:hyperlink>
      <w:r w:rsidRPr="003919FC">
        <w:t>, and </w:t>
      </w:r>
      <w:hyperlink r:id="rId13" w:tgtFrame="_blank" w:history="1">
        <w:r w:rsidRPr="003919FC">
          <w:rPr>
            <w:rStyle w:val="Hyperlink"/>
            <w:color w:val="auto"/>
          </w:rPr>
          <w:t>Twitter</w:t>
        </w:r>
      </w:hyperlink>
      <w:r w:rsidRPr="003919FC">
        <w:t>.</w:t>
      </w:r>
    </w:p>
    <w:p w14:paraId="719119D6" w14:textId="77777777" w:rsidR="001266D8" w:rsidRPr="003919FC" w:rsidRDefault="001266D8" w:rsidP="001266D8">
      <w:pPr>
        <w:spacing w:after="0" w:line="240" w:lineRule="auto"/>
        <w:rPr>
          <w:rFonts w:cs="Arial"/>
        </w:rPr>
      </w:pPr>
      <w:r w:rsidRPr="003919FC">
        <w:rPr>
          <w:rFonts w:cs="Arial"/>
          <w:b/>
          <w:bCs/>
        </w:rPr>
        <w:t>Media Contact</w:t>
      </w:r>
      <w:r w:rsidRPr="003919FC">
        <w:rPr>
          <w:rFonts w:cs="Arial"/>
        </w:rPr>
        <w:t xml:space="preserve"> </w:t>
      </w:r>
    </w:p>
    <w:p w14:paraId="66990B38" w14:textId="77777777" w:rsidR="001266D8" w:rsidRPr="003919FC" w:rsidRDefault="001266D8" w:rsidP="001266D8">
      <w:pPr>
        <w:spacing w:after="0" w:line="240" w:lineRule="auto"/>
        <w:rPr>
          <w:rFonts w:cs="Arial"/>
          <w:i/>
          <w:iCs/>
        </w:rPr>
      </w:pPr>
      <w:r w:rsidRPr="003919FC">
        <w:rPr>
          <w:rFonts w:cs="Arial"/>
        </w:rPr>
        <w:t xml:space="preserve">Bloomberg Philanthropies, Rebecca Carriero + 1 -212-205-0182 or </w:t>
      </w:r>
      <w:hyperlink r:id="rId14" w:history="1">
        <w:r w:rsidRPr="003919FC">
          <w:rPr>
            <w:rStyle w:val="Hyperlink"/>
            <w:rFonts w:cs="Arial"/>
            <w:color w:val="auto"/>
          </w:rPr>
          <w:t>rebeccac@bloomberg.org</w:t>
        </w:r>
      </w:hyperlink>
      <w:r w:rsidRPr="003919FC">
        <w:rPr>
          <w:rFonts w:cs="Arial"/>
        </w:rPr>
        <w:t xml:space="preserve"> </w:t>
      </w:r>
    </w:p>
    <w:p w14:paraId="18505384" w14:textId="77777777" w:rsidR="00E77DFC" w:rsidRPr="003919FC" w:rsidRDefault="00E77DFC" w:rsidP="001266D8">
      <w:pPr>
        <w:spacing w:after="0" w:line="240" w:lineRule="auto"/>
        <w:rPr>
          <w:b/>
          <w:bCs/>
        </w:rPr>
      </w:pPr>
    </w:p>
    <w:sectPr w:rsidR="00E77DFC" w:rsidRPr="003919F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A7F34" w14:textId="77777777" w:rsidR="007A51D7" w:rsidRDefault="007A51D7" w:rsidP="002E178C">
      <w:pPr>
        <w:spacing w:after="0" w:line="240" w:lineRule="auto"/>
      </w:pPr>
      <w:r>
        <w:separator/>
      </w:r>
    </w:p>
  </w:endnote>
  <w:endnote w:type="continuationSeparator" w:id="0">
    <w:p w14:paraId="24EDDD10" w14:textId="77777777" w:rsidR="007A51D7" w:rsidRDefault="007A51D7" w:rsidP="002E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3DED9" w14:textId="77777777" w:rsidR="007A51D7" w:rsidRDefault="007A51D7" w:rsidP="002E178C">
      <w:pPr>
        <w:spacing w:after="0" w:line="240" w:lineRule="auto"/>
      </w:pPr>
      <w:r>
        <w:separator/>
      </w:r>
    </w:p>
  </w:footnote>
  <w:footnote w:type="continuationSeparator" w:id="0">
    <w:p w14:paraId="3AEDDB88" w14:textId="77777777" w:rsidR="007A51D7" w:rsidRDefault="007A51D7" w:rsidP="002E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49E9A" w14:textId="77777777" w:rsidR="008C786C" w:rsidRDefault="008C786C">
    <w:pPr>
      <w:pStyle w:val="Header"/>
    </w:pPr>
  </w:p>
  <w:p w14:paraId="7F555894" w14:textId="77777777" w:rsidR="008C786C" w:rsidRDefault="008C7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4754"/>
    <w:multiLevelType w:val="hybridMultilevel"/>
    <w:tmpl w:val="43EAC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A5359"/>
    <w:multiLevelType w:val="hybridMultilevel"/>
    <w:tmpl w:val="EA0EC6FA"/>
    <w:lvl w:ilvl="0" w:tplc="D52452C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14C5A"/>
    <w:multiLevelType w:val="hybridMultilevel"/>
    <w:tmpl w:val="30EAFF7E"/>
    <w:lvl w:ilvl="0" w:tplc="1C9C14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738"/>
    <w:multiLevelType w:val="hybridMultilevel"/>
    <w:tmpl w:val="BE66EE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E5673"/>
    <w:multiLevelType w:val="hybridMultilevel"/>
    <w:tmpl w:val="84227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813B2"/>
    <w:multiLevelType w:val="hybridMultilevel"/>
    <w:tmpl w:val="AF584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C632A"/>
    <w:multiLevelType w:val="hybridMultilevel"/>
    <w:tmpl w:val="F7AAF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C7321D"/>
    <w:multiLevelType w:val="hybridMultilevel"/>
    <w:tmpl w:val="6B168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12168"/>
    <w:multiLevelType w:val="hybridMultilevel"/>
    <w:tmpl w:val="7504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80"/>
    <w:rsid w:val="00001A4D"/>
    <w:rsid w:val="00006A70"/>
    <w:rsid w:val="000072D7"/>
    <w:rsid w:val="00013E08"/>
    <w:rsid w:val="00020E07"/>
    <w:rsid w:val="00024109"/>
    <w:rsid w:val="000347D9"/>
    <w:rsid w:val="00034E00"/>
    <w:rsid w:val="00036518"/>
    <w:rsid w:val="000409D7"/>
    <w:rsid w:val="000451E9"/>
    <w:rsid w:val="00054791"/>
    <w:rsid w:val="00063648"/>
    <w:rsid w:val="00065757"/>
    <w:rsid w:val="000735C8"/>
    <w:rsid w:val="00075756"/>
    <w:rsid w:val="000930E1"/>
    <w:rsid w:val="0009531B"/>
    <w:rsid w:val="00096C38"/>
    <w:rsid w:val="00096DFA"/>
    <w:rsid w:val="000A11DB"/>
    <w:rsid w:val="000B5052"/>
    <w:rsid w:val="000C472A"/>
    <w:rsid w:val="000D27C6"/>
    <w:rsid w:val="000D4C56"/>
    <w:rsid w:val="000D72F6"/>
    <w:rsid w:val="000E3898"/>
    <w:rsid w:val="000E7E70"/>
    <w:rsid w:val="000F27CA"/>
    <w:rsid w:val="000F5438"/>
    <w:rsid w:val="000F7057"/>
    <w:rsid w:val="000F73FF"/>
    <w:rsid w:val="000F754E"/>
    <w:rsid w:val="001001A7"/>
    <w:rsid w:val="00101AB7"/>
    <w:rsid w:val="0010264E"/>
    <w:rsid w:val="00104211"/>
    <w:rsid w:val="001050B3"/>
    <w:rsid w:val="00115668"/>
    <w:rsid w:val="00116EA0"/>
    <w:rsid w:val="00121120"/>
    <w:rsid w:val="00123A31"/>
    <w:rsid w:val="00124090"/>
    <w:rsid w:val="001266D8"/>
    <w:rsid w:val="001271E3"/>
    <w:rsid w:val="00133E2A"/>
    <w:rsid w:val="00151D91"/>
    <w:rsid w:val="00156904"/>
    <w:rsid w:val="001612A6"/>
    <w:rsid w:val="0016555C"/>
    <w:rsid w:val="00165E03"/>
    <w:rsid w:val="00170CB6"/>
    <w:rsid w:val="00170FB1"/>
    <w:rsid w:val="00173071"/>
    <w:rsid w:val="00181B3B"/>
    <w:rsid w:val="00187883"/>
    <w:rsid w:val="00187D00"/>
    <w:rsid w:val="00197361"/>
    <w:rsid w:val="001A6E81"/>
    <w:rsid w:val="001B03A4"/>
    <w:rsid w:val="001B07B9"/>
    <w:rsid w:val="001B4F6F"/>
    <w:rsid w:val="001C21DF"/>
    <w:rsid w:val="001E1338"/>
    <w:rsid w:val="001E41E9"/>
    <w:rsid w:val="001E5724"/>
    <w:rsid w:val="001F285B"/>
    <w:rsid w:val="001F5EDE"/>
    <w:rsid w:val="00203E09"/>
    <w:rsid w:val="00204609"/>
    <w:rsid w:val="00213862"/>
    <w:rsid w:val="00221ECA"/>
    <w:rsid w:val="00224BDF"/>
    <w:rsid w:val="00232443"/>
    <w:rsid w:val="00244A56"/>
    <w:rsid w:val="002454A8"/>
    <w:rsid w:val="002457E1"/>
    <w:rsid w:val="00245886"/>
    <w:rsid w:val="00250ADA"/>
    <w:rsid w:val="00253FF2"/>
    <w:rsid w:val="00255CDA"/>
    <w:rsid w:val="00255EF8"/>
    <w:rsid w:val="002649F0"/>
    <w:rsid w:val="00264A34"/>
    <w:rsid w:val="00265C55"/>
    <w:rsid w:val="00266536"/>
    <w:rsid w:val="00273B6C"/>
    <w:rsid w:val="002878E0"/>
    <w:rsid w:val="00290F88"/>
    <w:rsid w:val="002A1A9D"/>
    <w:rsid w:val="002A310A"/>
    <w:rsid w:val="002A3A1C"/>
    <w:rsid w:val="002A529B"/>
    <w:rsid w:val="002B0EA4"/>
    <w:rsid w:val="002B4857"/>
    <w:rsid w:val="002B7E0D"/>
    <w:rsid w:val="002C4E9A"/>
    <w:rsid w:val="002D67EA"/>
    <w:rsid w:val="002E178C"/>
    <w:rsid w:val="002E4544"/>
    <w:rsid w:val="002F2C73"/>
    <w:rsid w:val="00313801"/>
    <w:rsid w:val="00316911"/>
    <w:rsid w:val="00320A5B"/>
    <w:rsid w:val="00326FB9"/>
    <w:rsid w:val="00336493"/>
    <w:rsid w:val="00350FAB"/>
    <w:rsid w:val="00351868"/>
    <w:rsid w:val="00352237"/>
    <w:rsid w:val="00354583"/>
    <w:rsid w:val="003564C9"/>
    <w:rsid w:val="00364848"/>
    <w:rsid w:val="00373D4C"/>
    <w:rsid w:val="00382CEE"/>
    <w:rsid w:val="00385169"/>
    <w:rsid w:val="003919FC"/>
    <w:rsid w:val="00392D31"/>
    <w:rsid w:val="003947E6"/>
    <w:rsid w:val="003B45A0"/>
    <w:rsid w:val="003B7EF8"/>
    <w:rsid w:val="003C29B2"/>
    <w:rsid w:val="003D196A"/>
    <w:rsid w:val="003E36F5"/>
    <w:rsid w:val="003E4E6C"/>
    <w:rsid w:val="003F10B5"/>
    <w:rsid w:val="003F679B"/>
    <w:rsid w:val="00400672"/>
    <w:rsid w:val="00400B24"/>
    <w:rsid w:val="00401889"/>
    <w:rsid w:val="00406CE1"/>
    <w:rsid w:val="00411EA7"/>
    <w:rsid w:val="004122B0"/>
    <w:rsid w:val="00420855"/>
    <w:rsid w:val="00437AF7"/>
    <w:rsid w:val="00452197"/>
    <w:rsid w:val="00453001"/>
    <w:rsid w:val="00456052"/>
    <w:rsid w:val="004624EF"/>
    <w:rsid w:val="0046698D"/>
    <w:rsid w:val="00471B87"/>
    <w:rsid w:val="00480211"/>
    <w:rsid w:val="004C126C"/>
    <w:rsid w:val="004D1D69"/>
    <w:rsid w:val="004D2619"/>
    <w:rsid w:val="004E6D11"/>
    <w:rsid w:val="004E70F4"/>
    <w:rsid w:val="00502203"/>
    <w:rsid w:val="00506649"/>
    <w:rsid w:val="005076B8"/>
    <w:rsid w:val="005117AE"/>
    <w:rsid w:val="00524040"/>
    <w:rsid w:val="00524066"/>
    <w:rsid w:val="00526017"/>
    <w:rsid w:val="005306B7"/>
    <w:rsid w:val="00530F96"/>
    <w:rsid w:val="00542B8C"/>
    <w:rsid w:val="00543D00"/>
    <w:rsid w:val="00543FEF"/>
    <w:rsid w:val="00550484"/>
    <w:rsid w:val="0056409D"/>
    <w:rsid w:val="00574EE6"/>
    <w:rsid w:val="00582DD9"/>
    <w:rsid w:val="005915B6"/>
    <w:rsid w:val="005967A6"/>
    <w:rsid w:val="005A0F20"/>
    <w:rsid w:val="005A3934"/>
    <w:rsid w:val="005B44AF"/>
    <w:rsid w:val="005B6208"/>
    <w:rsid w:val="005C5B10"/>
    <w:rsid w:val="005C6FC1"/>
    <w:rsid w:val="005D353A"/>
    <w:rsid w:val="005D593A"/>
    <w:rsid w:val="005E62E3"/>
    <w:rsid w:val="005E7946"/>
    <w:rsid w:val="005F6638"/>
    <w:rsid w:val="005F713A"/>
    <w:rsid w:val="006114C4"/>
    <w:rsid w:val="00611798"/>
    <w:rsid w:val="006201D6"/>
    <w:rsid w:val="00626BA9"/>
    <w:rsid w:val="006354B3"/>
    <w:rsid w:val="00637E10"/>
    <w:rsid w:val="00640A10"/>
    <w:rsid w:val="0064316F"/>
    <w:rsid w:val="00644053"/>
    <w:rsid w:val="006452D9"/>
    <w:rsid w:val="00650D2F"/>
    <w:rsid w:val="006569C7"/>
    <w:rsid w:val="006617DD"/>
    <w:rsid w:val="006626C6"/>
    <w:rsid w:val="00662D7D"/>
    <w:rsid w:val="006636C6"/>
    <w:rsid w:val="00667469"/>
    <w:rsid w:val="00683772"/>
    <w:rsid w:val="006911E8"/>
    <w:rsid w:val="006A3362"/>
    <w:rsid w:val="006A64F3"/>
    <w:rsid w:val="006A7B50"/>
    <w:rsid w:val="006B2311"/>
    <w:rsid w:val="006C7EFD"/>
    <w:rsid w:val="006D1FEB"/>
    <w:rsid w:val="006D276E"/>
    <w:rsid w:val="006D74EC"/>
    <w:rsid w:val="006D760B"/>
    <w:rsid w:val="006D79EC"/>
    <w:rsid w:val="006E07A6"/>
    <w:rsid w:val="006E52B3"/>
    <w:rsid w:val="006E7367"/>
    <w:rsid w:val="006E74D4"/>
    <w:rsid w:val="006F5DCC"/>
    <w:rsid w:val="00707252"/>
    <w:rsid w:val="00713114"/>
    <w:rsid w:val="00716229"/>
    <w:rsid w:val="00717E5D"/>
    <w:rsid w:val="00720D20"/>
    <w:rsid w:val="00723328"/>
    <w:rsid w:val="00723865"/>
    <w:rsid w:val="00724C1E"/>
    <w:rsid w:val="00724DBD"/>
    <w:rsid w:val="00736ED1"/>
    <w:rsid w:val="00740A56"/>
    <w:rsid w:val="007448AB"/>
    <w:rsid w:val="00750EE9"/>
    <w:rsid w:val="007554EE"/>
    <w:rsid w:val="00763230"/>
    <w:rsid w:val="00763B60"/>
    <w:rsid w:val="0077679E"/>
    <w:rsid w:val="00781D69"/>
    <w:rsid w:val="00783BA9"/>
    <w:rsid w:val="00796880"/>
    <w:rsid w:val="007A05CF"/>
    <w:rsid w:val="007A51D7"/>
    <w:rsid w:val="007A52D1"/>
    <w:rsid w:val="007B30FE"/>
    <w:rsid w:val="007C55B4"/>
    <w:rsid w:val="007D30E8"/>
    <w:rsid w:val="007E129D"/>
    <w:rsid w:val="007F246A"/>
    <w:rsid w:val="00800B29"/>
    <w:rsid w:val="00810675"/>
    <w:rsid w:val="00811F54"/>
    <w:rsid w:val="0082352C"/>
    <w:rsid w:val="00832D4D"/>
    <w:rsid w:val="008361F4"/>
    <w:rsid w:val="00840A91"/>
    <w:rsid w:val="00841139"/>
    <w:rsid w:val="00842549"/>
    <w:rsid w:val="00851274"/>
    <w:rsid w:val="008525C6"/>
    <w:rsid w:val="008528A4"/>
    <w:rsid w:val="00854361"/>
    <w:rsid w:val="00854DAE"/>
    <w:rsid w:val="00855966"/>
    <w:rsid w:val="00866AD4"/>
    <w:rsid w:val="00867073"/>
    <w:rsid w:val="00876BCA"/>
    <w:rsid w:val="00893A1A"/>
    <w:rsid w:val="0089650E"/>
    <w:rsid w:val="008A4C84"/>
    <w:rsid w:val="008A7F43"/>
    <w:rsid w:val="008B01D3"/>
    <w:rsid w:val="008B16F4"/>
    <w:rsid w:val="008B2080"/>
    <w:rsid w:val="008C0F52"/>
    <w:rsid w:val="008C25BE"/>
    <w:rsid w:val="008C51CB"/>
    <w:rsid w:val="008C786C"/>
    <w:rsid w:val="008D70C3"/>
    <w:rsid w:val="008F7DAF"/>
    <w:rsid w:val="008F7EED"/>
    <w:rsid w:val="00901A53"/>
    <w:rsid w:val="009045FE"/>
    <w:rsid w:val="00905453"/>
    <w:rsid w:val="00905948"/>
    <w:rsid w:val="009206E2"/>
    <w:rsid w:val="00930C11"/>
    <w:rsid w:val="00931D76"/>
    <w:rsid w:val="00936530"/>
    <w:rsid w:val="00936539"/>
    <w:rsid w:val="009401AB"/>
    <w:rsid w:val="009527B8"/>
    <w:rsid w:val="0095486F"/>
    <w:rsid w:val="009635C7"/>
    <w:rsid w:val="009639D8"/>
    <w:rsid w:val="00972A5D"/>
    <w:rsid w:val="0097357A"/>
    <w:rsid w:val="00973C68"/>
    <w:rsid w:val="009756D2"/>
    <w:rsid w:val="009801D5"/>
    <w:rsid w:val="009856FC"/>
    <w:rsid w:val="00991634"/>
    <w:rsid w:val="0099233D"/>
    <w:rsid w:val="009940FB"/>
    <w:rsid w:val="009A0C80"/>
    <w:rsid w:val="009A5FB4"/>
    <w:rsid w:val="009B3E9B"/>
    <w:rsid w:val="009D174D"/>
    <w:rsid w:val="009E1267"/>
    <w:rsid w:val="009E1FB4"/>
    <w:rsid w:val="009E4441"/>
    <w:rsid w:val="009E5882"/>
    <w:rsid w:val="009E7095"/>
    <w:rsid w:val="009F5AA2"/>
    <w:rsid w:val="00A07814"/>
    <w:rsid w:val="00A10BD7"/>
    <w:rsid w:val="00A1105E"/>
    <w:rsid w:val="00A12E83"/>
    <w:rsid w:val="00A1461D"/>
    <w:rsid w:val="00A15F79"/>
    <w:rsid w:val="00A20F49"/>
    <w:rsid w:val="00A31045"/>
    <w:rsid w:val="00A33630"/>
    <w:rsid w:val="00A33763"/>
    <w:rsid w:val="00A340CB"/>
    <w:rsid w:val="00A34A36"/>
    <w:rsid w:val="00A35924"/>
    <w:rsid w:val="00A36363"/>
    <w:rsid w:val="00A646A8"/>
    <w:rsid w:val="00A6745B"/>
    <w:rsid w:val="00A736C9"/>
    <w:rsid w:val="00A75A62"/>
    <w:rsid w:val="00A77B7D"/>
    <w:rsid w:val="00A83ECD"/>
    <w:rsid w:val="00A84FE0"/>
    <w:rsid w:val="00A85C76"/>
    <w:rsid w:val="00AA3764"/>
    <w:rsid w:val="00AA6036"/>
    <w:rsid w:val="00AC136E"/>
    <w:rsid w:val="00AC1A2C"/>
    <w:rsid w:val="00AC3CD6"/>
    <w:rsid w:val="00AC5800"/>
    <w:rsid w:val="00AD1614"/>
    <w:rsid w:val="00AD4DBF"/>
    <w:rsid w:val="00AE31FA"/>
    <w:rsid w:val="00AE4038"/>
    <w:rsid w:val="00AE4B27"/>
    <w:rsid w:val="00AE502A"/>
    <w:rsid w:val="00AF270C"/>
    <w:rsid w:val="00AF2F2F"/>
    <w:rsid w:val="00AF6A23"/>
    <w:rsid w:val="00B152DF"/>
    <w:rsid w:val="00B2763F"/>
    <w:rsid w:val="00B34BF0"/>
    <w:rsid w:val="00B3558A"/>
    <w:rsid w:val="00B362A1"/>
    <w:rsid w:val="00B46F82"/>
    <w:rsid w:val="00B47EE0"/>
    <w:rsid w:val="00B646A1"/>
    <w:rsid w:val="00B64EF7"/>
    <w:rsid w:val="00B74BEF"/>
    <w:rsid w:val="00B93956"/>
    <w:rsid w:val="00B95F54"/>
    <w:rsid w:val="00BA1C1B"/>
    <w:rsid w:val="00BA2F49"/>
    <w:rsid w:val="00BA3587"/>
    <w:rsid w:val="00BA7F66"/>
    <w:rsid w:val="00BB306A"/>
    <w:rsid w:val="00BB46B5"/>
    <w:rsid w:val="00BB64AF"/>
    <w:rsid w:val="00BC2E89"/>
    <w:rsid w:val="00BC3195"/>
    <w:rsid w:val="00BE7502"/>
    <w:rsid w:val="00BF3878"/>
    <w:rsid w:val="00C00E88"/>
    <w:rsid w:val="00C02B6A"/>
    <w:rsid w:val="00C0455C"/>
    <w:rsid w:val="00C16576"/>
    <w:rsid w:val="00C16F04"/>
    <w:rsid w:val="00C217E2"/>
    <w:rsid w:val="00C30529"/>
    <w:rsid w:val="00C3290C"/>
    <w:rsid w:val="00C378F7"/>
    <w:rsid w:val="00C4150C"/>
    <w:rsid w:val="00C451DF"/>
    <w:rsid w:val="00C52496"/>
    <w:rsid w:val="00C53494"/>
    <w:rsid w:val="00C54953"/>
    <w:rsid w:val="00C61962"/>
    <w:rsid w:val="00C74A7B"/>
    <w:rsid w:val="00C76D28"/>
    <w:rsid w:val="00C857EC"/>
    <w:rsid w:val="00C87858"/>
    <w:rsid w:val="00C90742"/>
    <w:rsid w:val="00C938F5"/>
    <w:rsid w:val="00C954C3"/>
    <w:rsid w:val="00C95B0D"/>
    <w:rsid w:val="00CA2241"/>
    <w:rsid w:val="00CA49E6"/>
    <w:rsid w:val="00CA4EE4"/>
    <w:rsid w:val="00CB39D8"/>
    <w:rsid w:val="00CD42CA"/>
    <w:rsid w:val="00CD5D6F"/>
    <w:rsid w:val="00CE4F9E"/>
    <w:rsid w:val="00CE6A62"/>
    <w:rsid w:val="00CE7632"/>
    <w:rsid w:val="00D11F75"/>
    <w:rsid w:val="00D13C93"/>
    <w:rsid w:val="00D26DED"/>
    <w:rsid w:val="00D33ABE"/>
    <w:rsid w:val="00D5562A"/>
    <w:rsid w:val="00D74C40"/>
    <w:rsid w:val="00D75B73"/>
    <w:rsid w:val="00D860FB"/>
    <w:rsid w:val="00D867E1"/>
    <w:rsid w:val="00D913A8"/>
    <w:rsid w:val="00D970D0"/>
    <w:rsid w:val="00DA01E1"/>
    <w:rsid w:val="00DA0B29"/>
    <w:rsid w:val="00DB3C44"/>
    <w:rsid w:val="00DD5558"/>
    <w:rsid w:val="00DE78EA"/>
    <w:rsid w:val="00E07F0A"/>
    <w:rsid w:val="00E264E7"/>
    <w:rsid w:val="00E3065E"/>
    <w:rsid w:val="00E32D76"/>
    <w:rsid w:val="00E36A02"/>
    <w:rsid w:val="00E61AA9"/>
    <w:rsid w:val="00E63072"/>
    <w:rsid w:val="00E718D8"/>
    <w:rsid w:val="00E77DFC"/>
    <w:rsid w:val="00E936F1"/>
    <w:rsid w:val="00EA1135"/>
    <w:rsid w:val="00EA193F"/>
    <w:rsid w:val="00EA7149"/>
    <w:rsid w:val="00EB36AC"/>
    <w:rsid w:val="00EB3C6E"/>
    <w:rsid w:val="00EB73D3"/>
    <w:rsid w:val="00EB7AE4"/>
    <w:rsid w:val="00EC5E7B"/>
    <w:rsid w:val="00ED2824"/>
    <w:rsid w:val="00ED4AA6"/>
    <w:rsid w:val="00ED5CEB"/>
    <w:rsid w:val="00ED6F46"/>
    <w:rsid w:val="00EE2B7D"/>
    <w:rsid w:val="00F03EE8"/>
    <w:rsid w:val="00F12BA9"/>
    <w:rsid w:val="00F164A9"/>
    <w:rsid w:val="00F231E9"/>
    <w:rsid w:val="00F32E22"/>
    <w:rsid w:val="00F34E87"/>
    <w:rsid w:val="00F355E4"/>
    <w:rsid w:val="00F36989"/>
    <w:rsid w:val="00F4133E"/>
    <w:rsid w:val="00F52BCF"/>
    <w:rsid w:val="00F55115"/>
    <w:rsid w:val="00F569CF"/>
    <w:rsid w:val="00F57C46"/>
    <w:rsid w:val="00F66568"/>
    <w:rsid w:val="00F7030F"/>
    <w:rsid w:val="00F70656"/>
    <w:rsid w:val="00F728EA"/>
    <w:rsid w:val="00F82C32"/>
    <w:rsid w:val="00F910E8"/>
    <w:rsid w:val="00FA02B4"/>
    <w:rsid w:val="00FA1AC5"/>
    <w:rsid w:val="00FA4174"/>
    <w:rsid w:val="00FD07C3"/>
    <w:rsid w:val="00FE14C4"/>
    <w:rsid w:val="00FE357B"/>
    <w:rsid w:val="00FF0E4D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A3F7F"/>
  <w15:docId w15:val="{3E98C6C9-66A4-46C9-BEEF-60371BD4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4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5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1E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38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F387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1461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461D"/>
    <w:rPr>
      <w:rFonts w:ascii="Calibri" w:hAnsi="Calibri"/>
      <w:szCs w:val="21"/>
    </w:rPr>
  </w:style>
  <w:style w:type="character" w:customStyle="1" w:styleId="style88">
    <w:name w:val="style88"/>
    <w:basedOn w:val="DefaultParagraphFont"/>
    <w:rsid w:val="00BC2E89"/>
  </w:style>
  <w:style w:type="paragraph" w:styleId="Header">
    <w:name w:val="header"/>
    <w:basedOn w:val="Normal"/>
    <w:link w:val="HeaderChar"/>
    <w:uiPriority w:val="99"/>
    <w:unhideWhenUsed/>
    <w:rsid w:val="002E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8C"/>
  </w:style>
  <w:style w:type="paragraph" w:styleId="Footer">
    <w:name w:val="footer"/>
    <w:basedOn w:val="Normal"/>
    <w:link w:val="FooterChar"/>
    <w:uiPriority w:val="99"/>
    <w:unhideWhenUsed/>
    <w:rsid w:val="002E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8C"/>
  </w:style>
  <w:style w:type="paragraph" w:styleId="NormalWeb">
    <w:name w:val="Normal (Web)"/>
    <w:basedOn w:val="Normal"/>
    <w:uiPriority w:val="99"/>
    <w:unhideWhenUsed/>
    <w:rsid w:val="0016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12A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F1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rtchallenge.bloomberg.org" TargetMode="External"/><Relationship Id="rId13" Type="http://schemas.openxmlformats.org/officeDocument/2006/relationships/hyperlink" Target="https://twitter.com/bloombergdot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pl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loombergdot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bloombergdot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oomberg.org/" TargetMode="External"/><Relationship Id="rId14" Type="http://schemas.openxmlformats.org/officeDocument/2006/relationships/hyperlink" Target="mailto:rebeccac@bloomber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68B4-2C0F-48D0-BD95-5B9583D8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Carriero, Rebecca</dc:creator>
  <cp:lastModifiedBy>Carriero, Rebecca</cp:lastModifiedBy>
  <cp:revision>8</cp:revision>
  <cp:lastPrinted>2018-07-13T20:01:00Z</cp:lastPrinted>
  <dcterms:created xsi:type="dcterms:W3CDTF">2018-07-17T13:15:00Z</dcterms:created>
  <dcterms:modified xsi:type="dcterms:W3CDTF">2018-07-17T19:14:00Z</dcterms:modified>
</cp:coreProperties>
</file>